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1336" w:rsidRDefault="008C7176" w:rsidP="00676801">
      <w:pPr>
        <w:spacing w:line="480" w:lineRule="auto"/>
        <w:rPr>
          <w:rFonts w:ascii="Arial" w:hAnsi="Arial" w:cs="Arial"/>
          <w:b/>
        </w:rPr>
      </w:pPr>
      <w:r>
        <w:rPr>
          <w:rFonts w:ascii="Arial" w:hAnsi="Arial" w:cs="Arial"/>
          <w:b/>
        </w:rPr>
        <w:t>Supplementary Text ST4</w:t>
      </w:r>
      <w:r w:rsidR="00951336">
        <w:rPr>
          <w:rFonts w:ascii="Arial" w:hAnsi="Arial" w:cs="Arial"/>
          <w:b/>
        </w:rPr>
        <w:t xml:space="preserve">. </w:t>
      </w:r>
    </w:p>
    <w:p w:rsidR="008C7176" w:rsidRDefault="008C7176" w:rsidP="008C7176">
      <w:pPr>
        <w:spacing w:line="240" w:lineRule="auto"/>
        <w:rPr>
          <w:rFonts w:ascii="Arial" w:hAnsi="Arial" w:cs="Arial"/>
          <w:b/>
        </w:rPr>
      </w:pPr>
      <w:r>
        <w:rPr>
          <w:rFonts w:ascii="Arial" w:hAnsi="Arial" w:cs="Arial"/>
          <w:b/>
        </w:rPr>
        <w:t>H</w:t>
      </w:r>
      <w:r w:rsidRPr="00190150">
        <w:rPr>
          <w:rFonts w:ascii="Arial" w:hAnsi="Arial" w:cs="Arial"/>
          <w:b/>
        </w:rPr>
        <w:t xml:space="preserve">uman embryo regulatory LTRs derived from distinct families of pan-primate endogenous retroviruses and human-specific </w:t>
      </w:r>
      <w:r>
        <w:rPr>
          <w:rFonts w:ascii="Arial" w:hAnsi="Arial" w:cs="Arial"/>
          <w:b/>
        </w:rPr>
        <w:t>genomic regulatory sequences (HSRS) share common sets of candidate down-stream target genes.</w:t>
      </w:r>
    </w:p>
    <w:p w:rsidR="00951336" w:rsidRDefault="00951336" w:rsidP="00676801">
      <w:pPr>
        <w:spacing w:line="480" w:lineRule="auto"/>
        <w:rPr>
          <w:rFonts w:ascii="Arial" w:hAnsi="Arial" w:cs="Arial"/>
          <w:b/>
        </w:rPr>
      </w:pPr>
    </w:p>
    <w:p w:rsidR="00473DA4" w:rsidRDefault="00473DA4" w:rsidP="00676801">
      <w:pPr>
        <w:spacing w:line="480" w:lineRule="auto"/>
        <w:rPr>
          <w:rFonts w:ascii="Arial" w:hAnsi="Arial" w:cs="Arial"/>
          <w:b/>
        </w:rPr>
      </w:pPr>
      <w:r>
        <w:rPr>
          <w:rFonts w:ascii="Arial" w:hAnsi="Arial" w:cs="Arial"/>
          <w:b/>
        </w:rPr>
        <w:t xml:space="preserve">Manuscript title: </w:t>
      </w:r>
    </w:p>
    <w:p w:rsidR="00676801" w:rsidRDefault="00676801" w:rsidP="00676801">
      <w:pPr>
        <w:spacing w:line="480" w:lineRule="auto"/>
        <w:rPr>
          <w:rFonts w:ascii="Arial" w:hAnsi="Arial" w:cs="Arial"/>
          <w:b/>
        </w:rPr>
      </w:pPr>
      <w:r>
        <w:rPr>
          <w:rFonts w:ascii="Arial" w:hAnsi="Arial" w:cs="Arial"/>
          <w:b/>
        </w:rPr>
        <w:t xml:space="preserve">Gene ontology-guided </w:t>
      </w:r>
      <w:r w:rsidR="002A0531">
        <w:rPr>
          <w:rFonts w:ascii="Arial" w:hAnsi="Arial" w:cs="Arial"/>
          <w:b/>
        </w:rPr>
        <w:t xml:space="preserve">proximity placement </w:t>
      </w:r>
      <w:r>
        <w:rPr>
          <w:rFonts w:ascii="Arial" w:hAnsi="Arial" w:cs="Arial"/>
          <w:b/>
        </w:rPr>
        <w:t>analyses of pan-primate regulatory LTR elements</w:t>
      </w:r>
      <w:r w:rsidR="002A0531">
        <w:rPr>
          <w:rFonts w:ascii="Arial" w:hAnsi="Arial" w:cs="Arial"/>
          <w:b/>
        </w:rPr>
        <w:t xml:space="preserve"> contributing to embryogenesis</w:t>
      </w:r>
      <w:r>
        <w:rPr>
          <w:rFonts w:ascii="Arial" w:hAnsi="Arial" w:cs="Arial"/>
          <w:b/>
        </w:rPr>
        <w:t>.</w:t>
      </w:r>
    </w:p>
    <w:p w:rsidR="00092EDF" w:rsidRPr="00715340" w:rsidRDefault="00092EDF" w:rsidP="00092EDF">
      <w:pPr>
        <w:autoSpaceDE w:val="0"/>
        <w:autoSpaceDN w:val="0"/>
        <w:adjustRightInd w:val="0"/>
        <w:spacing w:after="0" w:line="480" w:lineRule="auto"/>
        <w:rPr>
          <w:rFonts w:ascii="Arial" w:hAnsi="Arial" w:cs="Arial"/>
        </w:rPr>
      </w:pPr>
      <w:r w:rsidRPr="00715340">
        <w:rPr>
          <w:rFonts w:ascii="Arial" w:hAnsi="Arial" w:cs="Arial"/>
        </w:rPr>
        <w:t>Gennadi V. Glinsky</w:t>
      </w:r>
      <w:r>
        <w:rPr>
          <w:rFonts w:ascii="Arial" w:hAnsi="Arial" w:cs="Arial"/>
          <w:vertAlign w:val="superscript"/>
        </w:rPr>
        <w:t>1</w:t>
      </w:r>
    </w:p>
    <w:p w:rsidR="00092EDF" w:rsidRPr="00715340" w:rsidRDefault="00092EDF" w:rsidP="00092EDF">
      <w:pPr>
        <w:autoSpaceDE w:val="0"/>
        <w:autoSpaceDN w:val="0"/>
        <w:adjustRightInd w:val="0"/>
        <w:spacing w:after="0" w:line="480" w:lineRule="auto"/>
        <w:rPr>
          <w:rFonts w:ascii="Arial" w:hAnsi="Arial" w:cs="Arial"/>
        </w:rPr>
      </w:pPr>
      <w:r w:rsidRPr="00BF372D">
        <w:rPr>
          <w:rFonts w:ascii="Arial" w:hAnsi="Arial" w:cs="Arial"/>
          <w:vertAlign w:val="superscript"/>
        </w:rPr>
        <w:t>1</w:t>
      </w:r>
      <w:r w:rsidRPr="00715340">
        <w:rPr>
          <w:rFonts w:ascii="Arial" w:hAnsi="Arial" w:cs="Arial"/>
        </w:rPr>
        <w:t xml:space="preserve"> Institute of Engineering in Medicine</w:t>
      </w:r>
    </w:p>
    <w:p w:rsidR="00092EDF" w:rsidRPr="00715340" w:rsidRDefault="00092EDF" w:rsidP="00092EDF">
      <w:pPr>
        <w:autoSpaceDE w:val="0"/>
        <w:autoSpaceDN w:val="0"/>
        <w:adjustRightInd w:val="0"/>
        <w:spacing w:after="0" w:line="480" w:lineRule="auto"/>
        <w:rPr>
          <w:rFonts w:ascii="Arial" w:hAnsi="Arial" w:cs="Arial"/>
        </w:rPr>
      </w:pPr>
      <w:r w:rsidRPr="00715340">
        <w:rPr>
          <w:rFonts w:ascii="Arial" w:hAnsi="Arial" w:cs="Arial"/>
        </w:rPr>
        <w:t>University of California, San Diego</w:t>
      </w:r>
    </w:p>
    <w:p w:rsidR="00092EDF" w:rsidRPr="00715340" w:rsidRDefault="00092EDF" w:rsidP="00092EDF">
      <w:pPr>
        <w:autoSpaceDE w:val="0"/>
        <w:autoSpaceDN w:val="0"/>
        <w:adjustRightInd w:val="0"/>
        <w:spacing w:after="0" w:line="480" w:lineRule="auto"/>
        <w:rPr>
          <w:rFonts w:ascii="Arial" w:hAnsi="Arial" w:cs="Arial"/>
        </w:rPr>
      </w:pPr>
      <w:r w:rsidRPr="00715340">
        <w:rPr>
          <w:rFonts w:ascii="Arial" w:hAnsi="Arial" w:cs="Arial"/>
        </w:rPr>
        <w:t>9500 Gilman Dr. MC 0435</w:t>
      </w:r>
    </w:p>
    <w:p w:rsidR="00092EDF" w:rsidRPr="00715340" w:rsidRDefault="00092EDF" w:rsidP="00092EDF">
      <w:pPr>
        <w:autoSpaceDE w:val="0"/>
        <w:autoSpaceDN w:val="0"/>
        <w:adjustRightInd w:val="0"/>
        <w:spacing w:after="0" w:line="480" w:lineRule="auto"/>
        <w:rPr>
          <w:rFonts w:ascii="Arial" w:hAnsi="Arial" w:cs="Arial"/>
        </w:rPr>
      </w:pPr>
      <w:r w:rsidRPr="00715340">
        <w:rPr>
          <w:rFonts w:ascii="Arial" w:hAnsi="Arial" w:cs="Arial"/>
        </w:rPr>
        <w:t>La Jolla, CA 92093-0435, USA</w:t>
      </w:r>
    </w:p>
    <w:p w:rsidR="00CD20E7" w:rsidRPr="00715340" w:rsidRDefault="00092EDF" w:rsidP="00092EDF">
      <w:pPr>
        <w:autoSpaceDE w:val="0"/>
        <w:autoSpaceDN w:val="0"/>
        <w:adjustRightInd w:val="0"/>
        <w:spacing w:after="0" w:line="480" w:lineRule="auto"/>
        <w:rPr>
          <w:rFonts w:ascii="Arial" w:hAnsi="Arial" w:cs="Arial"/>
        </w:rPr>
      </w:pPr>
      <w:r w:rsidRPr="00715340">
        <w:rPr>
          <w:rFonts w:ascii="Arial" w:hAnsi="Arial" w:cs="Arial"/>
        </w:rPr>
        <w:t xml:space="preserve">Correspondence: </w:t>
      </w:r>
      <w:hyperlink r:id="rId7" w:history="1">
        <w:r w:rsidR="00CD20E7" w:rsidRPr="00FE5A95">
          <w:rPr>
            <w:rStyle w:val="Hyperlink"/>
            <w:rFonts w:ascii="Arial" w:hAnsi="Arial" w:cs="Arial"/>
          </w:rPr>
          <w:t>genlighttech@gmail.com</w:t>
        </w:r>
      </w:hyperlink>
      <w:r w:rsidR="00CD20E7">
        <w:rPr>
          <w:rFonts w:ascii="Arial" w:hAnsi="Arial" w:cs="Arial"/>
        </w:rPr>
        <w:t xml:space="preserve"> </w:t>
      </w:r>
    </w:p>
    <w:p w:rsidR="0053629C" w:rsidRDefault="0053629C" w:rsidP="0044518F">
      <w:pPr>
        <w:spacing w:line="480" w:lineRule="auto"/>
        <w:rPr>
          <w:rFonts w:ascii="Arial" w:hAnsi="Arial" w:cs="Arial"/>
          <w:b/>
        </w:rPr>
      </w:pPr>
    </w:p>
    <w:p w:rsidR="0053629C" w:rsidRDefault="0053629C" w:rsidP="0044518F">
      <w:pPr>
        <w:spacing w:line="480" w:lineRule="auto"/>
        <w:rPr>
          <w:rFonts w:ascii="Arial" w:hAnsi="Arial" w:cs="Arial"/>
          <w:b/>
        </w:rPr>
      </w:pPr>
    </w:p>
    <w:p w:rsidR="0053629C" w:rsidRDefault="0053629C" w:rsidP="0044518F">
      <w:pPr>
        <w:spacing w:line="480" w:lineRule="auto"/>
        <w:rPr>
          <w:rFonts w:ascii="Arial" w:hAnsi="Arial" w:cs="Arial"/>
          <w:b/>
        </w:rPr>
      </w:pPr>
    </w:p>
    <w:p w:rsidR="00C26929" w:rsidRDefault="00C26929" w:rsidP="0044518F">
      <w:pPr>
        <w:spacing w:line="480" w:lineRule="auto"/>
        <w:rPr>
          <w:rFonts w:ascii="Arial" w:hAnsi="Arial" w:cs="Arial"/>
          <w:b/>
        </w:rPr>
      </w:pPr>
    </w:p>
    <w:p w:rsidR="00C26929" w:rsidRDefault="00C26929" w:rsidP="0044518F">
      <w:pPr>
        <w:spacing w:line="480" w:lineRule="auto"/>
        <w:rPr>
          <w:rFonts w:ascii="Arial" w:hAnsi="Arial" w:cs="Arial"/>
          <w:b/>
        </w:rPr>
      </w:pPr>
    </w:p>
    <w:p w:rsidR="00C26929" w:rsidRDefault="00C26929" w:rsidP="0044518F">
      <w:pPr>
        <w:spacing w:line="480" w:lineRule="auto"/>
        <w:rPr>
          <w:rFonts w:ascii="Arial" w:hAnsi="Arial" w:cs="Arial"/>
          <w:b/>
        </w:rPr>
      </w:pPr>
    </w:p>
    <w:p w:rsidR="00A73B29" w:rsidRDefault="00A73B29" w:rsidP="0044518F">
      <w:pPr>
        <w:spacing w:line="480" w:lineRule="auto"/>
        <w:rPr>
          <w:rFonts w:ascii="Arial" w:hAnsi="Arial" w:cs="Arial"/>
          <w:b/>
        </w:rPr>
      </w:pPr>
    </w:p>
    <w:p w:rsidR="00565710" w:rsidRPr="00473DA4" w:rsidRDefault="00282085" w:rsidP="00473DA4">
      <w:pPr>
        <w:spacing w:line="360" w:lineRule="auto"/>
        <w:contextualSpacing/>
        <w:rPr>
          <w:rFonts w:ascii="Arial" w:hAnsi="Arial" w:cs="Arial"/>
        </w:rPr>
      </w:pPr>
      <w:r w:rsidRPr="00047FE2">
        <w:rPr>
          <w:rFonts w:ascii="Arial" w:hAnsi="Arial" w:cs="Arial"/>
          <w:b/>
        </w:rPr>
        <w:t>Key words:</w:t>
      </w:r>
      <w:r>
        <w:rPr>
          <w:rFonts w:ascii="Arial" w:hAnsi="Arial" w:cs="Arial"/>
        </w:rPr>
        <w:t xml:space="preserve"> </w:t>
      </w:r>
      <w:r w:rsidRPr="00B17CAA">
        <w:rPr>
          <w:rFonts w:ascii="Arial" w:hAnsi="Arial" w:cs="Arial"/>
        </w:rPr>
        <w:t>human endogenous retrovirus type H (HERVH); human endogenous retroviru</w:t>
      </w:r>
      <w:r>
        <w:rPr>
          <w:rFonts w:ascii="Arial" w:hAnsi="Arial" w:cs="Arial"/>
        </w:rPr>
        <w:t>s type L (HERVL</w:t>
      </w:r>
      <w:r w:rsidR="00DE409E">
        <w:rPr>
          <w:rFonts w:ascii="Arial" w:hAnsi="Arial" w:cs="Arial"/>
        </w:rPr>
        <w:t>); LTR7</w:t>
      </w:r>
      <w:r>
        <w:rPr>
          <w:rFonts w:ascii="Arial" w:hAnsi="Arial" w:cs="Arial"/>
        </w:rPr>
        <w:t>; MLT2A1; MLT2A2</w:t>
      </w:r>
      <w:r w:rsidRPr="00B17CAA">
        <w:rPr>
          <w:rFonts w:ascii="Arial" w:hAnsi="Arial" w:cs="Arial"/>
        </w:rPr>
        <w:t xml:space="preserve">; retrotransposition; primate evolution; </w:t>
      </w:r>
      <w:r>
        <w:rPr>
          <w:rFonts w:ascii="Arial" w:hAnsi="Arial" w:cs="Arial"/>
        </w:rPr>
        <w:t xml:space="preserve">mammalian </w:t>
      </w:r>
      <w:r w:rsidRPr="00B17CAA">
        <w:rPr>
          <w:rFonts w:ascii="Arial" w:hAnsi="Arial" w:cs="Arial"/>
        </w:rPr>
        <w:t xml:space="preserve">offspring survival genes; human embryogenesis; </w:t>
      </w:r>
      <w:r>
        <w:rPr>
          <w:rFonts w:ascii="Arial" w:hAnsi="Arial" w:cs="Arial"/>
        </w:rPr>
        <w:t xml:space="preserve">reduced fertility; infertility; </w:t>
      </w:r>
      <w:r w:rsidRPr="00B17CAA">
        <w:rPr>
          <w:rFonts w:ascii="Arial" w:hAnsi="Arial" w:cs="Arial"/>
        </w:rPr>
        <w:t>synaptic transmission; protein-protein interactions at synapses;</w:t>
      </w:r>
      <w:r>
        <w:rPr>
          <w:rFonts w:ascii="Arial" w:hAnsi="Arial" w:cs="Arial"/>
        </w:rPr>
        <w:t xml:space="preserve"> human endogenous complexomes; viral-host protein-protein interactions; neoplasm metastasis; neurodevelopmental disorders; neurodegenerative diseases; human-specific phenotypic traits; human-specific regulatory sequences.</w:t>
      </w:r>
    </w:p>
    <w:p w:rsidR="008C7176" w:rsidRDefault="008C7176" w:rsidP="008C7176">
      <w:pPr>
        <w:spacing w:line="240" w:lineRule="auto"/>
        <w:rPr>
          <w:rFonts w:ascii="Arial" w:hAnsi="Arial" w:cs="Arial"/>
          <w:b/>
        </w:rPr>
      </w:pPr>
      <w:r>
        <w:rPr>
          <w:rFonts w:ascii="Arial" w:hAnsi="Arial" w:cs="Arial"/>
          <w:b/>
        </w:rPr>
        <w:lastRenderedPageBreak/>
        <w:t>H</w:t>
      </w:r>
      <w:r w:rsidRPr="00190150">
        <w:rPr>
          <w:rFonts w:ascii="Arial" w:hAnsi="Arial" w:cs="Arial"/>
          <w:b/>
        </w:rPr>
        <w:t xml:space="preserve">uman embryo regulatory LTRs derived from distinct families of pan-primate endogenous retroviruses and human-specific </w:t>
      </w:r>
      <w:r>
        <w:rPr>
          <w:rFonts w:ascii="Arial" w:hAnsi="Arial" w:cs="Arial"/>
          <w:b/>
        </w:rPr>
        <w:t>genomic regulatory sequences (HSRS) share common sets of candidate down-stream target genes.</w:t>
      </w:r>
    </w:p>
    <w:p w:rsidR="008C7176" w:rsidRDefault="008C7176" w:rsidP="008C7176">
      <w:pPr>
        <w:spacing w:line="240" w:lineRule="auto"/>
        <w:rPr>
          <w:rFonts w:ascii="Arial" w:hAnsi="Arial" w:cs="Arial"/>
        </w:rPr>
      </w:pPr>
      <w:r>
        <w:rPr>
          <w:rFonts w:ascii="Arial" w:hAnsi="Arial" w:cs="Arial"/>
        </w:rPr>
        <w:t>One of important conclusions that could be derived from reported herein observations is that</w:t>
      </w:r>
      <w:r w:rsidRPr="00AF457A">
        <w:rPr>
          <w:rFonts w:ascii="Arial" w:hAnsi="Arial" w:cs="Arial"/>
        </w:rPr>
        <w:t xml:space="preserve"> human embryo </w:t>
      </w:r>
      <w:r>
        <w:rPr>
          <w:rFonts w:ascii="Arial" w:hAnsi="Arial" w:cs="Arial"/>
        </w:rPr>
        <w:t>regulatory LTR</w:t>
      </w:r>
      <w:r w:rsidRPr="00AF457A">
        <w:rPr>
          <w:rFonts w:ascii="Arial" w:hAnsi="Arial" w:cs="Arial"/>
        </w:rPr>
        <w:t xml:space="preserve"> elements</w:t>
      </w:r>
      <w:r>
        <w:rPr>
          <w:rFonts w:ascii="Arial" w:hAnsi="Arial" w:cs="Arial"/>
        </w:rPr>
        <w:t xml:space="preserve"> could have contributed to primate evolution by driving the emergence of human-specific phenotypic traits. To test this hypothesis and gauge potential impacts of regulatory LTRs on emergence of human-specific phenotypic traits, identified and functionally characterized in this study </w:t>
      </w:r>
      <w:r w:rsidRPr="0044518F">
        <w:rPr>
          <w:rFonts w:ascii="Arial" w:hAnsi="Arial" w:cs="Arial"/>
        </w:rPr>
        <w:t>candidate dow</w:t>
      </w:r>
      <w:r>
        <w:rPr>
          <w:rFonts w:ascii="Arial" w:hAnsi="Arial" w:cs="Arial"/>
        </w:rPr>
        <w:t>n-stream regulatory targets</w:t>
      </w:r>
      <w:r w:rsidRPr="0044518F">
        <w:rPr>
          <w:rFonts w:ascii="Arial" w:hAnsi="Arial" w:cs="Arial"/>
        </w:rPr>
        <w:t xml:space="preserve"> of human embryo </w:t>
      </w:r>
      <w:r>
        <w:rPr>
          <w:rFonts w:ascii="Arial" w:hAnsi="Arial" w:cs="Arial"/>
        </w:rPr>
        <w:t xml:space="preserve">regulatory LTR elements were </w:t>
      </w:r>
      <w:r w:rsidRPr="0044518F">
        <w:rPr>
          <w:rFonts w:ascii="Arial" w:hAnsi="Arial" w:cs="Arial"/>
        </w:rPr>
        <w:t xml:space="preserve">cross-referenced with </w:t>
      </w:r>
      <w:r>
        <w:rPr>
          <w:rFonts w:ascii="Arial" w:hAnsi="Arial" w:cs="Arial"/>
        </w:rPr>
        <w:t xml:space="preserve">previously reported </w:t>
      </w:r>
      <w:r w:rsidRPr="0044518F">
        <w:rPr>
          <w:rFonts w:ascii="Arial" w:hAnsi="Arial" w:cs="Arial"/>
        </w:rPr>
        <w:t xml:space="preserve">down-stream target </w:t>
      </w:r>
      <w:r>
        <w:rPr>
          <w:rFonts w:ascii="Arial" w:hAnsi="Arial" w:cs="Arial"/>
        </w:rPr>
        <w:t>genes of 110,339</w:t>
      </w:r>
      <w:r w:rsidRPr="0044518F">
        <w:rPr>
          <w:rFonts w:ascii="Arial" w:hAnsi="Arial" w:cs="Arial"/>
        </w:rPr>
        <w:t xml:space="preserve"> human-specif</w:t>
      </w:r>
      <w:r>
        <w:rPr>
          <w:rFonts w:ascii="Arial" w:hAnsi="Arial" w:cs="Arial"/>
        </w:rPr>
        <w:t xml:space="preserve">ic genomic regulatory sequences (HSRS), which are fixed in human population and creation of which was attributed to several distinct mechanisms (Glinsky, 2015 – 2022; Methods). For each binary category of distinct regulatory loci and corresponding down-stream regulatory targets, common sets of down-stream target genes were identified and evaluated based on two quantitative metrics: a) enrichment of observed numbers of common target genes compared to expected numbers based on the random target distribution model; b) evaluations of relative abundance profiles of common sets of down-stream target genes calculated as the percentage of all down-stream target genes. It has been surmised that identification of significantly enriched common sets of genes independently defined as putative down-stream regulatory targets of HSRS and human embryo regulatory LTRs may reveal common phenotypic traits affected by different classes of genomic regulatory elements. </w:t>
      </w:r>
    </w:p>
    <w:p w:rsidR="008C7176" w:rsidRDefault="008C7176" w:rsidP="008C7176">
      <w:pPr>
        <w:spacing w:line="240" w:lineRule="auto"/>
        <w:ind w:firstLine="720"/>
        <w:rPr>
          <w:rFonts w:ascii="Arial" w:hAnsi="Arial" w:cs="Arial"/>
        </w:rPr>
      </w:pPr>
      <w:r>
        <w:rPr>
          <w:rFonts w:ascii="Arial" w:hAnsi="Arial" w:cs="Arial"/>
        </w:rPr>
        <w:t xml:space="preserve">Consistent with the idea of overlapping sets of down-stream targets for different classes of genomic regulatory elements, genes identified as down-stream regulatory targets of </w:t>
      </w:r>
      <w:r w:rsidRPr="0044518F">
        <w:rPr>
          <w:rFonts w:ascii="Arial" w:hAnsi="Arial" w:cs="Arial"/>
        </w:rPr>
        <w:t xml:space="preserve">MLT2A2 and MLT2A1 </w:t>
      </w:r>
      <w:r>
        <w:rPr>
          <w:rFonts w:ascii="Arial" w:hAnsi="Arial" w:cs="Arial"/>
        </w:rPr>
        <w:t xml:space="preserve">loci </w:t>
      </w:r>
      <w:r w:rsidRPr="0044518F">
        <w:rPr>
          <w:rFonts w:ascii="Arial" w:hAnsi="Arial" w:cs="Arial"/>
        </w:rPr>
        <w:t xml:space="preserve">are </w:t>
      </w:r>
      <w:r>
        <w:rPr>
          <w:rFonts w:ascii="Arial" w:hAnsi="Arial" w:cs="Arial"/>
        </w:rPr>
        <w:t xml:space="preserve">significantly </w:t>
      </w:r>
      <w:r w:rsidRPr="0044518F">
        <w:rPr>
          <w:rFonts w:ascii="Arial" w:hAnsi="Arial" w:cs="Arial"/>
        </w:rPr>
        <w:t>enriched among</w:t>
      </w:r>
      <w:r>
        <w:rPr>
          <w:rFonts w:ascii="Arial" w:hAnsi="Arial" w:cs="Arial"/>
        </w:rPr>
        <w:t xml:space="preserve"> LTR7 target </w:t>
      </w:r>
      <w:r w:rsidRPr="0044518F">
        <w:rPr>
          <w:rFonts w:ascii="Arial" w:hAnsi="Arial" w:cs="Arial"/>
        </w:rPr>
        <w:t>genes</w:t>
      </w:r>
      <w:r>
        <w:rPr>
          <w:rFonts w:ascii="Arial" w:hAnsi="Arial" w:cs="Arial"/>
        </w:rPr>
        <w:t>, while genes identified as down-stream regulatory targets of</w:t>
      </w:r>
      <w:r w:rsidRPr="0044518F">
        <w:rPr>
          <w:rFonts w:ascii="Arial" w:hAnsi="Arial" w:cs="Arial"/>
        </w:rPr>
        <w:t xml:space="preserve"> LTR7</w:t>
      </w:r>
      <w:r>
        <w:rPr>
          <w:rFonts w:ascii="Arial" w:hAnsi="Arial" w:cs="Arial"/>
        </w:rPr>
        <w:t xml:space="preserve"> loci</w:t>
      </w:r>
      <w:r w:rsidRPr="0044518F">
        <w:rPr>
          <w:rFonts w:ascii="Arial" w:hAnsi="Arial" w:cs="Arial"/>
        </w:rPr>
        <w:t xml:space="preserve"> are </w:t>
      </w:r>
      <w:r>
        <w:rPr>
          <w:rFonts w:ascii="Arial" w:hAnsi="Arial" w:cs="Arial"/>
        </w:rPr>
        <w:t xml:space="preserve">significantly </w:t>
      </w:r>
      <w:r w:rsidRPr="0044518F">
        <w:rPr>
          <w:rFonts w:ascii="Arial" w:hAnsi="Arial" w:cs="Arial"/>
        </w:rPr>
        <w:t>enriched</w:t>
      </w:r>
      <w:r>
        <w:rPr>
          <w:rFonts w:ascii="Arial" w:hAnsi="Arial" w:cs="Arial"/>
        </w:rPr>
        <w:t xml:space="preserve"> among MLT2A2 and MLT2A1 target genes (</w:t>
      </w:r>
      <w:r>
        <w:rPr>
          <w:rFonts w:ascii="Arial" w:hAnsi="Arial" w:cs="Arial"/>
          <w:b/>
        </w:rPr>
        <w:t xml:space="preserve">Figure 7; Supplementary </w:t>
      </w:r>
      <w:r w:rsidRPr="00E94BA7">
        <w:rPr>
          <w:rFonts w:ascii="Arial" w:hAnsi="Arial" w:cs="Arial"/>
          <w:b/>
        </w:rPr>
        <w:t>Table S4</w:t>
      </w:r>
      <w:r>
        <w:rPr>
          <w:rFonts w:ascii="Arial" w:hAnsi="Arial" w:cs="Arial"/>
        </w:rPr>
        <w:t xml:space="preserve">). Furthermore, </w:t>
      </w:r>
      <w:r w:rsidRPr="00375CA0">
        <w:rPr>
          <w:rFonts w:ascii="Arial" w:hAnsi="Arial" w:cs="Arial"/>
        </w:rPr>
        <w:t>genome-wide connectivity pro</w:t>
      </w:r>
      <w:r>
        <w:rPr>
          <w:rFonts w:ascii="Arial" w:hAnsi="Arial" w:cs="Arial"/>
        </w:rPr>
        <w:t>files of human embryo regulatory LTR</w:t>
      </w:r>
      <w:r w:rsidRPr="00375CA0">
        <w:rPr>
          <w:rFonts w:ascii="Arial" w:hAnsi="Arial" w:cs="Arial"/>
        </w:rPr>
        <w:t xml:space="preserve">s and putative target genes are </w:t>
      </w:r>
      <w:r>
        <w:rPr>
          <w:rFonts w:ascii="Arial" w:hAnsi="Arial" w:cs="Arial"/>
        </w:rPr>
        <w:t xml:space="preserve">significantly </w:t>
      </w:r>
      <w:r w:rsidRPr="00375CA0">
        <w:rPr>
          <w:rFonts w:ascii="Arial" w:hAnsi="Arial" w:cs="Arial"/>
        </w:rPr>
        <w:t xml:space="preserve">recapitulated within genomic regulatory networks </w:t>
      </w:r>
      <w:r>
        <w:rPr>
          <w:rFonts w:ascii="Arial" w:hAnsi="Arial" w:cs="Arial"/>
        </w:rPr>
        <w:t xml:space="preserve">presumably </w:t>
      </w:r>
      <w:r w:rsidRPr="00375CA0">
        <w:rPr>
          <w:rFonts w:ascii="Arial" w:hAnsi="Arial" w:cs="Arial"/>
        </w:rPr>
        <w:t>governed by 72,349 human-specific mutations of regulatory DNA sequences, including</w:t>
      </w:r>
      <w:r>
        <w:rPr>
          <w:rFonts w:ascii="Arial" w:hAnsi="Arial" w:cs="Arial"/>
          <w:b/>
        </w:rPr>
        <w:t xml:space="preserve"> </w:t>
      </w:r>
      <w:r w:rsidRPr="0044518F">
        <w:rPr>
          <w:rFonts w:ascii="Arial" w:hAnsi="Arial" w:cs="Arial"/>
        </w:rPr>
        <w:t>17,777 fixed human-sp</w:t>
      </w:r>
      <w:r>
        <w:rPr>
          <w:rFonts w:ascii="Arial" w:hAnsi="Arial" w:cs="Arial"/>
        </w:rPr>
        <w:t xml:space="preserve">ecific insertions and deletions; </w:t>
      </w:r>
      <w:r w:rsidRPr="0044518F">
        <w:rPr>
          <w:rFonts w:ascii="Arial" w:hAnsi="Arial" w:cs="Arial"/>
        </w:rPr>
        <w:t>35,074 fixed human-specific neuro-regulatory single nucleotide mutat</w:t>
      </w:r>
      <w:r>
        <w:rPr>
          <w:rFonts w:ascii="Arial" w:hAnsi="Arial" w:cs="Arial"/>
        </w:rPr>
        <w:t xml:space="preserve">ions shared with archaic humans; and </w:t>
      </w:r>
      <w:r w:rsidRPr="0044518F">
        <w:rPr>
          <w:rFonts w:ascii="Arial" w:hAnsi="Arial" w:cs="Arial"/>
        </w:rPr>
        <w:t>7,236 fixed human-specific regulatory regions devoided of archaic humans’ DNA</w:t>
      </w:r>
      <w:r>
        <w:rPr>
          <w:rFonts w:ascii="Arial" w:hAnsi="Arial" w:cs="Arial"/>
        </w:rPr>
        <w:t xml:space="preserve"> (</w:t>
      </w:r>
      <w:r>
        <w:rPr>
          <w:rFonts w:ascii="Arial" w:hAnsi="Arial" w:cs="Arial"/>
          <w:b/>
        </w:rPr>
        <w:t>Figure 7</w:t>
      </w:r>
      <w:r w:rsidRPr="00E94BA7">
        <w:rPr>
          <w:rFonts w:ascii="Arial" w:hAnsi="Arial" w:cs="Arial"/>
          <w:b/>
        </w:rPr>
        <w:t>; Supplementary Table S4</w:t>
      </w:r>
      <w:r>
        <w:rPr>
          <w:rFonts w:ascii="Arial" w:hAnsi="Arial" w:cs="Arial"/>
        </w:rPr>
        <w:t xml:space="preserve">). </w:t>
      </w:r>
    </w:p>
    <w:p w:rsidR="008C7176" w:rsidRPr="00CD0768" w:rsidRDefault="008C7176" w:rsidP="008C7176">
      <w:pPr>
        <w:spacing w:line="240" w:lineRule="auto"/>
        <w:ind w:firstLine="720"/>
        <w:rPr>
          <w:rFonts w:ascii="Arial" w:hAnsi="Arial" w:cs="Arial"/>
        </w:rPr>
      </w:pPr>
      <w:r w:rsidRPr="00CD0768">
        <w:rPr>
          <w:rFonts w:ascii="Arial" w:hAnsi="Arial" w:cs="Arial"/>
        </w:rPr>
        <w:t>In several instances it was possible to dissect common</w:t>
      </w:r>
      <w:r>
        <w:rPr>
          <w:rFonts w:ascii="Arial" w:hAnsi="Arial" w:cs="Arial"/>
        </w:rPr>
        <w:t xml:space="preserve"> patterns of</w:t>
      </w:r>
      <w:r w:rsidRPr="00CD0768">
        <w:rPr>
          <w:rFonts w:ascii="Arial" w:hAnsi="Arial" w:cs="Arial"/>
        </w:rPr>
        <w:t xml:space="preserve"> down-stream regulatory targets’ </w:t>
      </w:r>
      <w:r>
        <w:rPr>
          <w:rFonts w:ascii="Arial" w:hAnsi="Arial" w:cs="Arial"/>
        </w:rPr>
        <w:t>enrichment</w:t>
      </w:r>
      <w:r w:rsidRPr="00CD0768">
        <w:rPr>
          <w:rFonts w:ascii="Arial" w:hAnsi="Arial" w:cs="Arial"/>
        </w:rPr>
        <w:t xml:space="preserve"> of genes linked with different families of human embryo regulatory LTRs vis-a-vis </w:t>
      </w:r>
      <w:r>
        <w:rPr>
          <w:rFonts w:ascii="Arial" w:hAnsi="Arial" w:cs="Arial"/>
        </w:rPr>
        <w:t xml:space="preserve">defined sets of </w:t>
      </w:r>
      <w:r w:rsidRPr="00CD0768">
        <w:rPr>
          <w:rFonts w:ascii="Arial" w:hAnsi="Arial" w:cs="Arial"/>
        </w:rPr>
        <w:t xml:space="preserve">human-specific </w:t>
      </w:r>
      <w:r>
        <w:rPr>
          <w:rFonts w:ascii="Arial" w:hAnsi="Arial" w:cs="Arial"/>
        </w:rPr>
        <w:t>sequences previously identified as components of different GRNs (</w:t>
      </w:r>
      <w:r>
        <w:rPr>
          <w:rFonts w:ascii="Arial" w:hAnsi="Arial" w:cs="Arial"/>
          <w:b/>
        </w:rPr>
        <w:t>Figure 7</w:t>
      </w:r>
      <w:r w:rsidRPr="00B00197">
        <w:rPr>
          <w:rFonts w:ascii="Arial" w:hAnsi="Arial" w:cs="Arial"/>
          <w:b/>
        </w:rPr>
        <w:t>;</w:t>
      </w:r>
      <w:r>
        <w:rPr>
          <w:rFonts w:ascii="Arial" w:hAnsi="Arial" w:cs="Arial"/>
          <w:b/>
        </w:rPr>
        <w:t xml:space="preserve"> Table 12;</w:t>
      </w:r>
      <w:r>
        <w:rPr>
          <w:rFonts w:ascii="Arial" w:hAnsi="Arial" w:cs="Arial"/>
        </w:rPr>
        <w:t xml:space="preserve"> </w:t>
      </w:r>
      <w:r w:rsidRPr="00747D2D">
        <w:rPr>
          <w:rFonts w:ascii="Arial" w:hAnsi="Arial" w:cs="Arial"/>
          <w:b/>
        </w:rPr>
        <w:t>Supplementary Table S4</w:t>
      </w:r>
      <w:r>
        <w:rPr>
          <w:rFonts w:ascii="Arial" w:hAnsi="Arial" w:cs="Arial"/>
        </w:rPr>
        <w:t>)</w:t>
      </w:r>
      <w:r w:rsidRPr="00CD0768">
        <w:rPr>
          <w:rFonts w:ascii="Arial" w:hAnsi="Arial" w:cs="Arial"/>
        </w:rPr>
        <w:t>. These set of analyses included the pairwise comparisons of the relative enrichment profiles of genes comprising down-stream targets of Naïve &amp; Primed hESC functional enhancers and genes linked with 1619 human-specific Naïve &amp; Primed hESC functional enhancers</w:t>
      </w:r>
      <w:r>
        <w:rPr>
          <w:rFonts w:ascii="Arial" w:hAnsi="Arial" w:cs="Arial"/>
        </w:rPr>
        <w:t xml:space="preserve"> (Barakat et al., 2018; Glinsky and Barakat, 2019)</w:t>
      </w:r>
      <w:r w:rsidRPr="00CD0768">
        <w:rPr>
          <w:rFonts w:ascii="Arial" w:hAnsi="Arial" w:cs="Arial"/>
        </w:rPr>
        <w:t>; genes comprising down-stream targets of transposable elements (TE)</w:t>
      </w:r>
      <w:r>
        <w:rPr>
          <w:rFonts w:ascii="Arial" w:hAnsi="Arial" w:cs="Arial"/>
        </w:rPr>
        <w:t xml:space="preserve"> loci expressed in dorsolateral prefrontal cortex (</w:t>
      </w:r>
      <w:r w:rsidRPr="00CD0768">
        <w:rPr>
          <w:rFonts w:ascii="Arial" w:hAnsi="Arial" w:cs="Arial"/>
        </w:rPr>
        <w:t>DLPFC</w:t>
      </w:r>
      <w:r>
        <w:rPr>
          <w:rFonts w:ascii="Arial" w:hAnsi="Arial" w:cs="Arial"/>
        </w:rPr>
        <w:t>) of the adult human brain</w:t>
      </w:r>
      <w:r w:rsidRPr="00CD0768">
        <w:rPr>
          <w:rFonts w:ascii="Arial" w:hAnsi="Arial" w:cs="Arial"/>
        </w:rPr>
        <w:t xml:space="preserve"> and genes linked with 4690 human-specific TE loci expressed in human adult DLPFC</w:t>
      </w:r>
      <w:r>
        <w:rPr>
          <w:rFonts w:ascii="Arial" w:hAnsi="Arial" w:cs="Arial"/>
        </w:rPr>
        <w:t xml:space="preserve"> (Guffanti et al., 2018)</w:t>
      </w:r>
      <w:r w:rsidRPr="00CD0768">
        <w:rPr>
          <w:rFonts w:ascii="Arial" w:hAnsi="Arial" w:cs="Arial"/>
        </w:rPr>
        <w:t>; genes identified as down-stream targets of a high</w:t>
      </w:r>
      <w:r>
        <w:rPr>
          <w:rFonts w:ascii="Arial" w:hAnsi="Arial" w:cs="Arial"/>
        </w:rPr>
        <w:t>ly-diverse</w:t>
      </w:r>
      <w:r w:rsidRPr="00CD0768">
        <w:rPr>
          <w:rFonts w:ascii="Arial" w:hAnsi="Arial" w:cs="Arial"/>
        </w:rPr>
        <w:t xml:space="preserve"> set of 59,732 HSRS and genes associated with 12,262 created de novo HSRS (</w:t>
      </w:r>
      <w:r w:rsidRPr="0046067F">
        <w:rPr>
          <w:rFonts w:ascii="Arial" w:hAnsi="Arial" w:cs="Arial"/>
        </w:rPr>
        <w:t>Glinsky, 2020</w:t>
      </w:r>
      <w:r w:rsidRPr="00CD0768">
        <w:rPr>
          <w:rFonts w:ascii="Arial" w:hAnsi="Arial" w:cs="Arial"/>
        </w:rPr>
        <w:t xml:space="preserve">). </w:t>
      </w:r>
      <w:r>
        <w:rPr>
          <w:rFonts w:ascii="Arial" w:hAnsi="Arial" w:cs="Arial"/>
        </w:rPr>
        <w:t>Notably, in all instances genes comprising down-stream targets of bona fide human-specific components of genomic regulatory networks appear significantly enriched among genes defined as down-stream targets of different families of human embryo regulatory LTR elements (</w:t>
      </w:r>
      <w:r>
        <w:rPr>
          <w:rFonts w:ascii="Arial" w:hAnsi="Arial" w:cs="Arial"/>
          <w:b/>
        </w:rPr>
        <w:t>Figure 7</w:t>
      </w:r>
      <w:r w:rsidRPr="00B00197">
        <w:rPr>
          <w:rFonts w:ascii="Arial" w:hAnsi="Arial" w:cs="Arial"/>
          <w:b/>
        </w:rPr>
        <w:t>;</w:t>
      </w:r>
      <w:r>
        <w:rPr>
          <w:rFonts w:ascii="Arial" w:hAnsi="Arial" w:cs="Arial"/>
          <w:b/>
        </w:rPr>
        <w:t xml:space="preserve"> Table 12;</w:t>
      </w:r>
      <w:r>
        <w:rPr>
          <w:rFonts w:ascii="Arial" w:hAnsi="Arial" w:cs="Arial"/>
        </w:rPr>
        <w:t xml:space="preserve"> </w:t>
      </w:r>
      <w:r w:rsidRPr="00747D2D">
        <w:rPr>
          <w:rFonts w:ascii="Arial" w:hAnsi="Arial" w:cs="Arial"/>
          <w:b/>
        </w:rPr>
        <w:t>Supplementary Table S4</w:t>
      </w:r>
      <w:r>
        <w:rPr>
          <w:rFonts w:ascii="Arial" w:hAnsi="Arial" w:cs="Arial"/>
        </w:rPr>
        <w:t xml:space="preserve">). </w:t>
      </w:r>
    </w:p>
    <w:p w:rsidR="008C7176" w:rsidRDefault="008C7176" w:rsidP="008C7176">
      <w:pPr>
        <w:spacing w:line="240" w:lineRule="auto"/>
        <w:ind w:firstLine="720"/>
        <w:rPr>
          <w:rFonts w:ascii="Arial" w:hAnsi="Arial" w:cs="Arial"/>
        </w:rPr>
      </w:pPr>
      <w:r w:rsidRPr="004567E3">
        <w:rPr>
          <w:rFonts w:ascii="Arial" w:hAnsi="Arial" w:cs="Arial"/>
        </w:rPr>
        <w:t xml:space="preserve">Identified herein consistent </w:t>
      </w:r>
      <w:r>
        <w:rPr>
          <w:rFonts w:ascii="Arial" w:hAnsi="Arial" w:cs="Arial"/>
        </w:rPr>
        <w:t xml:space="preserve">patterns of significant enrichment </w:t>
      </w:r>
      <w:r w:rsidRPr="004567E3">
        <w:rPr>
          <w:rFonts w:ascii="Arial" w:hAnsi="Arial" w:cs="Arial"/>
        </w:rPr>
        <w:t xml:space="preserve">of common sets of genes comprising down-stream regulatory targets of HSRS and human embryo </w:t>
      </w:r>
      <w:r>
        <w:rPr>
          <w:rFonts w:ascii="Arial" w:hAnsi="Arial" w:cs="Arial"/>
        </w:rPr>
        <w:t>regulatory LTR</w:t>
      </w:r>
      <w:r w:rsidRPr="004567E3">
        <w:rPr>
          <w:rFonts w:ascii="Arial" w:hAnsi="Arial" w:cs="Arial"/>
        </w:rPr>
        <w:t>s seem related to the 3D topological domains’ architecture of linear chromatin fibers as well as chromatin state signatures.</w:t>
      </w:r>
      <w:r>
        <w:rPr>
          <w:rFonts w:ascii="Arial" w:hAnsi="Arial" w:cs="Arial"/>
        </w:rPr>
        <w:t xml:space="preserve"> This notion is supported by observations of significant enrichments of genes associated with rapidly evolving in humans topologically associating domains (TADs) among genes comprising down-stream regulatory targets of human embryo regulatory LTRs (</w:t>
      </w:r>
      <w:r>
        <w:rPr>
          <w:rFonts w:ascii="Arial" w:hAnsi="Arial" w:cs="Arial"/>
          <w:b/>
        </w:rPr>
        <w:t>Figure 7</w:t>
      </w:r>
      <w:r w:rsidRPr="00B00197">
        <w:rPr>
          <w:rFonts w:ascii="Arial" w:hAnsi="Arial" w:cs="Arial"/>
          <w:b/>
        </w:rPr>
        <w:t>;</w:t>
      </w:r>
      <w:r>
        <w:rPr>
          <w:rFonts w:ascii="Arial" w:hAnsi="Arial" w:cs="Arial"/>
        </w:rPr>
        <w:t xml:space="preserve"> </w:t>
      </w:r>
      <w:r w:rsidRPr="00747D2D">
        <w:rPr>
          <w:rFonts w:ascii="Arial" w:hAnsi="Arial" w:cs="Arial"/>
          <w:b/>
        </w:rPr>
        <w:t>Supplementary Table S4</w:t>
      </w:r>
      <w:r>
        <w:rPr>
          <w:rFonts w:ascii="Arial" w:hAnsi="Arial" w:cs="Arial"/>
        </w:rPr>
        <w:t>). In a similar fashion, evaluation of genes associated with dynamic TADs, which are TADs undergoing marked changes of their genomic boundaries during differentiation of human cells, documented their significant enrichment among down-stream target genes of human embryo regulatory LTR elements (</w:t>
      </w:r>
      <w:r>
        <w:rPr>
          <w:rFonts w:ascii="Arial" w:hAnsi="Arial" w:cs="Arial"/>
          <w:b/>
        </w:rPr>
        <w:t>Figure 7</w:t>
      </w:r>
      <w:r w:rsidRPr="00B00197">
        <w:rPr>
          <w:rFonts w:ascii="Arial" w:hAnsi="Arial" w:cs="Arial"/>
          <w:b/>
        </w:rPr>
        <w:t>;</w:t>
      </w:r>
      <w:r>
        <w:rPr>
          <w:rFonts w:ascii="Arial" w:hAnsi="Arial" w:cs="Arial"/>
        </w:rPr>
        <w:t xml:space="preserve"> </w:t>
      </w:r>
      <w:r w:rsidRPr="00747D2D">
        <w:rPr>
          <w:rFonts w:ascii="Arial" w:hAnsi="Arial" w:cs="Arial"/>
          <w:b/>
        </w:rPr>
        <w:t>Supplementary Table S4</w:t>
      </w:r>
      <w:r>
        <w:rPr>
          <w:rFonts w:ascii="Arial" w:hAnsi="Arial" w:cs="Arial"/>
        </w:rPr>
        <w:t xml:space="preserve">). It has been observed that enrichment score values of these categories of common down-stream target genes appeared placed consistently among top-scoring significantly-enriched gene sets within panels of down-stream regulatory targets of distinct families of human embryo regulatory LTRs.  </w:t>
      </w:r>
    </w:p>
    <w:p w:rsidR="008C7176" w:rsidRDefault="008C7176" w:rsidP="008C7176">
      <w:pPr>
        <w:spacing w:line="240" w:lineRule="auto"/>
        <w:ind w:firstLine="720"/>
        <w:rPr>
          <w:rFonts w:ascii="Arial" w:hAnsi="Arial" w:cs="Arial"/>
        </w:rPr>
      </w:pPr>
      <w:r>
        <w:rPr>
          <w:rFonts w:ascii="Arial" w:hAnsi="Arial" w:cs="Arial"/>
        </w:rPr>
        <w:lastRenderedPageBreak/>
        <w:t xml:space="preserve">Genes identified herein as candidate down-stream regulatory targets of distinct families of human embryo regulatory LTR elements appear related to a significant degree to down-stream target genes of DNA sequences defined as genomic regulatory elements based on their chromatin state’s signatures, namely </w:t>
      </w:r>
      <w:r w:rsidRPr="00187E77">
        <w:rPr>
          <w:rFonts w:ascii="Arial" w:hAnsi="Arial" w:cs="Arial"/>
        </w:rPr>
        <w:t>8,297 fixed human-specific regulatory regions</w:t>
      </w:r>
      <w:r>
        <w:rPr>
          <w:rFonts w:ascii="Arial" w:hAnsi="Arial" w:cs="Arial"/>
        </w:rPr>
        <w:t xml:space="preserve"> (Marnetto et al., 2014)</w:t>
      </w:r>
      <w:r w:rsidRPr="00187E77">
        <w:rPr>
          <w:rFonts w:ascii="Arial" w:hAnsi="Arial" w:cs="Arial"/>
        </w:rPr>
        <w:t xml:space="preserve"> and 7,598 hESC developmental enhancers</w:t>
      </w:r>
      <w:r>
        <w:rPr>
          <w:rFonts w:ascii="Arial" w:hAnsi="Arial" w:cs="Arial"/>
        </w:rPr>
        <w:t xml:space="preserve"> (</w:t>
      </w:r>
      <w:r w:rsidRPr="00AA643A">
        <w:rPr>
          <w:rFonts w:ascii="Arial" w:hAnsi="Arial" w:cs="Arial"/>
        </w:rPr>
        <w:t>Rada-Iglesias</w:t>
      </w:r>
      <w:r>
        <w:rPr>
          <w:rFonts w:ascii="Arial" w:hAnsi="Arial" w:cs="Arial"/>
        </w:rPr>
        <w:t xml:space="preserve"> et al., 2011). Results of these analyses documented significant enrichment of genes comprising down-stream targets of chromatin state-defined regulatory DNA sequences, revealing </w:t>
      </w:r>
      <w:r w:rsidRPr="003D036C">
        <w:rPr>
          <w:rFonts w:ascii="Arial" w:hAnsi="Arial" w:cs="Arial"/>
        </w:rPr>
        <w:t>g</w:t>
      </w:r>
      <w:r>
        <w:rPr>
          <w:rFonts w:ascii="Arial" w:hAnsi="Arial" w:cs="Arial"/>
        </w:rPr>
        <w:t>enome-wide connectivity component</w:t>
      </w:r>
      <w:r w:rsidRPr="003D036C">
        <w:rPr>
          <w:rFonts w:ascii="Arial" w:hAnsi="Arial" w:cs="Arial"/>
        </w:rPr>
        <w:t>s of human embryo regulatory LTR</w:t>
      </w:r>
      <w:r>
        <w:rPr>
          <w:rFonts w:ascii="Arial" w:hAnsi="Arial" w:cs="Arial"/>
        </w:rPr>
        <w:t xml:space="preserve"> element</w:t>
      </w:r>
      <w:r w:rsidRPr="003D036C">
        <w:rPr>
          <w:rFonts w:ascii="Arial" w:hAnsi="Arial" w:cs="Arial"/>
        </w:rPr>
        <w:t xml:space="preserve">s and </w:t>
      </w:r>
      <w:r>
        <w:rPr>
          <w:rFonts w:ascii="Arial" w:hAnsi="Arial" w:cs="Arial"/>
        </w:rPr>
        <w:t xml:space="preserve">their </w:t>
      </w:r>
      <w:r w:rsidRPr="003D036C">
        <w:rPr>
          <w:rFonts w:ascii="Arial" w:hAnsi="Arial" w:cs="Arial"/>
        </w:rPr>
        <w:t xml:space="preserve">putative target genes that </w:t>
      </w:r>
      <w:r>
        <w:rPr>
          <w:rFonts w:ascii="Arial" w:hAnsi="Arial" w:cs="Arial"/>
        </w:rPr>
        <w:t xml:space="preserve">are recapitulated, in part, </w:t>
      </w:r>
      <w:r w:rsidRPr="003D036C">
        <w:rPr>
          <w:rFonts w:ascii="Arial" w:hAnsi="Arial" w:cs="Arial"/>
        </w:rPr>
        <w:t>within genomic regulatory networks governed by 8,297 fixed human-specific regulatory regions and 7,598 hESC developmental enhancers defined by chromatin state signatures.</w:t>
      </w:r>
      <w:r>
        <w:rPr>
          <w:rFonts w:ascii="Arial" w:hAnsi="Arial" w:cs="Arial"/>
          <w:b/>
        </w:rPr>
        <w:t xml:space="preserve"> </w:t>
      </w:r>
      <w:r w:rsidRPr="00890D20">
        <w:rPr>
          <w:rFonts w:ascii="Arial" w:hAnsi="Arial" w:cs="Arial"/>
        </w:rPr>
        <w:t xml:space="preserve">These findings imply that subsets </w:t>
      </w:r>
      <w:r>
        <w:rPr>
          <w:rFonts w:ascii="Arial" w:hAnsi="Arial" w:cs="Arial"/>
        </w:rPr>
        <w:t xml:space="preserve">of genes comprising down-stream targets of regulatory LTRs represent down-stream target genes regulated by hESC developmental enhancers and/or fixed human-specific regulatory regions implicated in control of differentiation phenotypes of human cells. </w:t>
      </w:r>
    </w:p>
    <w:p w:rsidR="008C7176" w:rsidRDefault="008C7176" w:rsidP="008C7176">
      <w:pPr>
        <w:spacing w:line="240" w:lineRule="auto"/>
        <w:ind w:firstLine="720"/>
        <w:rPr>
          <w:rFonts w:ascii="Arial" w:hAnsi="Arial" w:cs="Arial"/>
        </w:rPr>
      </w:pPr>
      <w:r>
        <w:rPr>
          <w:rFonts w:ascii="Arial" w:hAnsi="Arial" w:cs="Arial"/>
        </w:rPr>
        <w:t xml:space="preserve">One of biological processes affecting the integrity of genomic DNA sequences during evolution is colonization and functional/structural remodeling of primates’ genomes by mobile genetic elements (MGE), including various families of TE and HERVs, most of which lost their mobility and have been co-opted to perform a variety of genomic regulatory functions. </w:t>
      </w:r>
      <w:r w:rsidRPr="00293E1C">
        <w:rPr>
          <w:rFonts w:ascii="Arial" w:hAnsi="Arial" w:cs="Arial"/>
        </w:rPr>
        <w:t>L1, Alu and SVA elements are the only transposable elements that have unequivocally been shown to be currently active in humans, as shown by de novo insertions that are re</w:t>
      </w:r>
      <w:r>
        <w:rPr>
          <w:rFonts w:ascii="Arial" w:hAnsi="Arial" w:cs="Arial"/>
        </w:rPr>
        <w:t>sponsible for genetic disorders (Cordaux and Batzer, 2009). Inevitable m</w:t>
      </w:r>
      <w:r w:rsidRPr="00761091">
        <w:rPr>
          <w:rFonts w:ascii="Arial" w:hAnsi="Arial" w:cs="Arial"/>
        </w:rPr>
        <w:t xml:space="preserve">utational losses of </w:t>
      </w:r>
      <w:r>
        <w:rPr>
          <w:rFonts w:ascii="Arial" w:hAnsi="Arial" w:cs="Arial"/>
        </w:rPr>
        <w:t xml:space="preserve">essential </w:t>
      </w:r>
      <w:r w:rsidRPr="00761091">
        <w:rPr>
          <w:rFonts w:ascii="Arial" w:hAnsi="Arial" w:cs="Arial"/>
        </w:rPr>
        <w:t xml:space="preserve">regulatory features of </w:t>
      </w:r>
      <w:r>
        <w:rPr>
          <w:rFonts w:ascii="Arial" w:hAnsi="Arial" w:cs="Arial"/>
        </w:rPr>
        <w:t>transposon insertions dictate the necessity</w:t>
      </w:r>
      <w:r w:rsidRPr="00761091">
        <w:rPr>
          <w:rFonts w:ascii="Arial" w:hAnsi="Arial" w:cs="Arial"/>
        </w:rPr>
        <w:t xml:space="preserve"> of continuous retrotransposition during evolution</w:t>
      </w:r>
      <w:r>
        <w:rPr>
          <w:rFonts w:ascii="Arial" w:hAnsi="Arial" w:cs="Arial"/>
        </w:rPr>
        <w:t xml:space="preserve">. Latest examples of structural/functional exaptation of MGEs likely reflecting relatively recent events of genomic evolution of present day Modern Humans have been mapped based on identification and characterization of fixed insertions of MGEs that were most recently active in human genome (Autio et al., 2021). It has been observed that down-stream target genes of 1937 genomic regulatory elements constituting fixed DNA insertions of most recently active MGEs are significantly enriched among down-stream target genes of human embryo regulatory LTRs of distinct HERV families. Overall, a majority of genes (536 of 926 genes; 58%) comprising down-stream regulatory targets of fixed MGE loci most recently active in human genome appears selected from genes identified in this study as putative down-stream targets of distinct families of human embryo regulatory LTR elements. These findings indicate that </w:t>
      </w:r>
      <w:r w:rsidRPr="00454254">
        <w:rPr>
          <w:rFonts w:ascii="Arial" w:hAnsi="Arial" w:cs="Arial"/>
        </w:rPr>
        <w:t xml:space="preserve">GRNs governed by different families of human embryo </w:t>
      </w:r>
      <w:r>
        <w:rPr>
          <w:rFonts w:ascii="Arial" w:hAnsi="Arial" w:cs="Arial"/>
        </w:rPr>
        <w:t>regulatory LTR</w:t>
      </w:r>
      <w:r w:rsidRPr="00454254">
        <w:rPr>
          <w:rFonts w:ascii="Arial" w:hAnsi="Arial" w:cs="Arial"/>
        </w:rPr>
        <w:t>s and insertions of MGEs that were most recently active in human genome share a common set of down-stream regulatory targets comprising 536 genes.</w:t>
      </w:r>
      <w:r>
        <w:rPr>
          <w:rFonts w:ascii="Arial" w:hAnsi="Arial" w:cs="Arial"/>
        </w:rPr>
        <w:t xml:space="preserve"> </w:t>
      </w:r>
    </w:p>
    <w:p w:rsidR="008C7176" w:rsidRDefault="008C7176" w:rsidP="008C7176">
      <w:pPr>
        <w:spacing w:line="240" w:lineRule="auto"/>
        <w:ind w:firstLine="720"/>
        <w:rPr>
          <w:rFonts w:ascii="Arial" w:hAnsi="Arial" w:cs="Arial"/>
        </w:rPr>
      </w:pPr>
      <w:r>
        <w:rPr>
          <w:rFonts w:ascii="Arial" w:hAnsi="Arial" w:cs="Arial"/>
        </w:rPr>
        <w:t>C</w:t>
      </w:r>
      <w:r w:rsidRPr="0044518F">
        <w:rPr>
          <w:rFonts w:ascii="Arial" w:hAnsi="Arial" w:cs="Arial"/>
        </w:rPr>
        <w:t xml:space="preserve">omparative analyses of genome-wide connectivity maps of genomic coordinates of </w:t>
      </w:r>
      <w:r>
        <w:rPr>
          <w:rFonts w:ascii="Arial" w:hAnsi="Arial" w:cs="Arial"/>
        </w:rPr>
        <w:t>human embryo regulatory LTR</w:t>
      </w:r>
      <w:r w:rsidRPr="0044518F">
        <w:rPr>
          <w:rFonts w:ascii="Arial" w:hAnsi="Arial" w:cs="Arial"/>
        </w:rPr>
        <w:t>s, human-specific regulatory elements, and their can</w:t>
      </w:r>
      <w:r>
        <w:rPr>
          <w:rFonts w:ascii="Arial" w:hAnsi="Arial" w:cs="Arial"/>
        </w:rPr>
        <w:t xml:space="preserve">didate down-stream target genes imply </w:t>
      </w:r>
      <w:r w:rsidRPr="0044518F">
        <w:rPr>
          <w:rFonts w:ascii="Arial" w:hAnsi="Arial" w:cs="Arial"/>
        </w:rPr>
        <w:t>c</w:t>
      </w:r>
      <w:r>
        <w:rPr>
          <w:rFonts w:ascii="Arial" w:hAnsi="Arial" w:cs="Arial"/>
        </w:rPr>
        <w:t xml:space="preserve">oncordant </w:t>
      </w:r>
      <w:r w:rsidRPr="0044518F">
        <w:rPr>
          <w:rFonts w:ascii="Arial" w:hAnsi="Arial" w:cs="Arial"/>
        </w:rPr>
        <w:t xml:space="preserve">patterns </w:t>
      </w:r>
      <w:r>
        <w:rPr>
          <w:rFonts w:ascii="Arial" w:hAnsi="Arial" w:cs="Arial"/>
        </w:rPr>
        <w:t xml:space="preserve">of their inferred phenotypic impacts and suggest a genomic regulatory mechanism contributing to emergence of human-specific traits during primate evolution. Considering evolutionary timelines of introduction and expansion of distinct HERVs’ families within the primate lineage vis-à-vis human-specific genomic regulatory sequences, these observations are consistent with the idea that human embryo regulatory LTR elements have made important contribution to creation of genomic fingerprints guiding the evolution of regulatory DNA features facilitating the emergence of human-specific phenotypic traits. </w:t>
      </w:r>
    </w:p>
    <w:p w:rsidR="00A80D1F" w:rsidRDefault="00A80D1F" w:rsidP="008C7176">
      <w:pPr>
        <w:spacing w:line="240" w:lineRule="auto"/>
        <w:ind w:firstLine="720"/>
        <w:rPr>
          <w:rFonts w:ascii="Arial" w:hAnsi="Arial" w:cs="Arial"/>
        </w:rPr>
      </w:pPr>
    </w:p>
    <w:p w:rsidR="00A80D1F" w:rsidRDefault="00A80D1F" w:rsidP="008C7176">
      <w:pPr>
        <w:spacing w:line="240" w:lineRule="auto"/>
        <w:ind w:firstLine="720"/>
        <w:rPr>
          <w:rFonts w:ascii="Arial" w:hAnsi="Arial" w:cs="Arial"/>
        </w:rPr>
      </w:pPr>
    </w:p>
    <w:p w:rsidR="00A80D1F" w:rsidRDefault="00A80D1F" w:rsidP="008C7176">
      <w:pPr>
        <w:spacing w:line="240" w:lineRule="auto"/>
        <w:ind w:firstLine="720"/>
        <w:rPr>
          <w:rFonts w:ascii="Arial" w:hAnsi="Arial" w:cs="Arial"/>
        </w:rPr>
      </w:pPr>
    </w:p>
    <w:p w:rsidR="00A80D1F" w:rsidRDefault="00A80D1F" w:rsidP="008C7176">
      <w:pPr>
        <w:spacing w:line="240" w:lineRule="auto"/>
        <w:ind w:firstLine="720"/>
        <w:rPr>
          <w:rFonts w:ascii="Arial" w:hAnsi="Arial" w:cs="Arial"/>
        </w:rPr>
      </w:pPr>
    </w:p>
    <w:p w:rsidR="00A80D1F" w:rsidRDefault="00A80D1F" w:rsidP="008C7176">
      <w:pPr>
        <w:spacing w:line="240" w:lineRule="auto"/>
        <w:ind w:firstLine="720"/>
        <w:rPr>
          <w:rFonts w:ascii="Arial" w:hAnsi="Arial" w:cs="Arial"/>
        </w:rPr>
      </w:pPr>
    </w:p>
    <w:p w:rsidR="00A80D1F" w:rsidRDefault="00A80D1F" w:rsidP="008C7176">
      <w:pPr>
        <w:spacing w:line="240" w:lineRule="auto"/>
        <w:ind w:firstLine="720"/>
        <w:rPr>
          <w:rFonts w:ascii="Arial" w:hAnsi="Arial" w:cs="Arial"/>
        </w:rPr>
      </w:pPr>
    </w:p>
    <w:p w:rsidR="00A80D1F" w:rsidRDefault="00A80D1F" w:rsidP="00A80D1F">
      <w:pPr>
        <w:spacing w:line="240" w:lineRule="auto"/>
        <w:rPr>
          <w:rFonts w:ascii="Arial" w:hAnsi="Arial" w:cs="Arial"/>
        </w:rPr>
      </w:pPr>
    </w:p>
    <w:p w:rsidR="00A80D1F" w:rsidRDefault="00A80D1F" w:rsidP="00A80D1F">
      <w:pPr>
        <w:spacing w:line="240" w:lineRule="auto"/>
        <w:rPr>
          <w:rFonts w:ascii="Arial" w:hAnsi="Arial" w:cs="Arial"/>
        </w:rPr>
      </w:pPr>
    </w:p>
    <w:p w:rsidR="00A80D1F" w:rsidRDefault="00A80D1F" w:rsidP="00A80D1F">
      <w:pPr>
        <w:spacing w:line="240" w:lineRule="auto"/>
        <w:rPr>
          <w:rFonts w:ascii="Arial" w:hAnsi="Arial" w:cs="Arial"/>
        </w:rPr>
      </w:pPr>
    </w:p>
    <w:p w:rsidR="00A80D1F" w:rsidRDefault="00A80D1F" w:rsidP="00A80D1F">
      <w:pPr>
        <w:spacing w:line="240" w:lineRule="auto"/>
        <w:rPr>
          <w:rFonts w:ascii="Arial" w:hAnsi="Arial" w:cs="Arial"/>
        </w:rPr>
      </w:pPr>
    </w:p>
    <w:p w:rsidR="00A80D1F" w:rsidRPr="00DF487C" w:rsidRDefault="00A80D1F" w:rsidP="00A80D1F">
      <w:pPr>
        <w:rPr>
          <w:rFonts w:ascii="Arial" w:hAnsi="Arial" w:cs="Arial"/>
          <w:sz w:val="20"/>
          <w:szCs w:val="20"/>
        </w:rPr>
      </w:pPr>
      <w:r w:rsidRPr="00DF487C">
        <w:rPr>
          <w:rFonts w:ascii="Arial" w:hAnsi="Arial" w:cs="Arial"/>
          <w:b/>
          <w:sz w:val="20"/>
          <w:szCs w:val="20"/>
        </w:rPr>
        <w:lastRenderedPageBreak/>
        <w:t>Table 12.</w:t>
      </w:r>
      <w:r w:rsidRPr="00DF487C">
        <w:rPr>
          <w:rFonts w:ascii="Arial" w:hAnsi="Arial" w:cs="Arial"/>
          <w:sz w:val="20"/>
          <w:szCs w:val="20"/>
        </w:rPr>
        <w:t xml:space="preserve"> Enrichment of genes linked to distinct families of Human-Specific Regulatory Sequences (HSRS) among putative down-stream target genes of distinct families of human embryo </w:t>
      </w:r>
      <w:r>
        <w:rPr>
          <w:rFonts w:ascii="Arial" w:hAnsi="Arial" w:cs="Arial"/>
          <w:sz w:val="20"/>
          <w:szCs w:val="20"/>
        </w:rPr>
        <w:t>regulatory LTR</w:t>
      </w:r>
      <w:r w:rsidRPr="00DF487C">
        <w:rPr>
          <w:rFonts w:ascii="Arial" w:hAnsi="Arial" w:cs="Arial"/>
          <w:sz w:val="20"/>
          <w:szCs w:val="20"/>
        </w:rPr>
        <w:t xml:space="preserve"> elements.</w:t>
      </w:r>
    </w:p>
    <w:tbl>
      <w:tblPr>
        <w:tblStyle w:val="PlainTable2"/>
        <w:tblW w:w="0" w:type="auto"/>
        <w:tblLook w:val="04A0" w:firstRow="1" w:lastRow="0" w:firstColumn="1" w:lastColumn="0" w:noHBand="0" w:noVBand="1"/>
      </w:tblPr>
      <w:tblGrid>
        <w:gridCol w:w="4354"/>
        <w:gridCol w:w="1395"/>
        <w:gridCol w:w="1236"/>
        <w:gridCol w:w="2409"/>
        <w:gridCol w:w="1406"/>
      </w:tblGrid>
      <w:tr w:rsidR="00A80D1F" w:rsidRPr="00DF487C" w:rsidTr="00A20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Classification category</w:t>
            </w:r>
          </w:p>
        </w:tc>
        <w:tc>
          <w:tcPr>
            <w:tcW w:w="1620" w:type="dxa"/>
          </w:tcPr>
          <w:p w:rsidR="00A80D1F" w:rsidRPr="00DF487C" w:rsidRDefault="00A80D1F" w:rsidP="00A20D7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0"/>
                <w:szCs w:val="20"/>
              </w:rPr>
            </w:pPr>
            <w:r w:rsidRPr="00DF487C">
              <w:rPr>
                <w:rFonts w:ascii="Arial" w:hAnsi="Arial" w:cs="Arial"/>
                <w:color w:val="000000"/>
                <w:sz w:val="20"/>
                <w:szCs w:val="20"/>
              </w:rPr>
              <w:t>Observed</w:t>
            </w:r>
          </w:p>
        </w:tc>
        <w:tc>
          <w:tcPr>
            <w:tcW w:w="1350" w:type="dxa"/>
          </w:tcPr>
          <w:p w:rsidR="00A80D1F" w:rsidRPr="00DF487C" w:rsidRDefault="00A80D1F" w:rsidP="00A20D76">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Expected</w:t>
            </w:r>
          </w:p>
        </w:tc>
        <w:tc>
          <w:tcPr>
            <w:tcW w:w="2520" w:type="dxa"/>
          </w:tcPr>
          <w:p w:rsidR="00A80D1F" w:rsidRPr="00DF487C" w:rsidRDefault="00A80D1F" w:rsidP="00A20D76">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Enrichment/Depletion</w:t>
            </w:r>
          </w:p>
        </w:tc>
        <w:tc>
          <w:tcPr>
            <w:tcW w:w="1620" w:type="dxa"/>
          </w:tcPr>
          <w:p w:rsidR="00A80D1F" w:rsidRPr="00DF487C" w:rsidRDefault="00A80D1F" w:rsidP="00A20D76">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P value*</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70C0"/>
                <w:sz w:val="20"/>
                <w:szCs w:val="20"/>
                <w:u w:val="single"/>
              </w:rPr>
            </w:pPr>
            <w:r w:rsidRPr="00DF487C">
              <w:rPr>
                <w:rFonts w:ascii="Arial" w:hAnsi="Arial" w:cs="Arial"/>
                <w:bCs w:val="0"/>
                <w:sz w:val="20"/>
                <w:szCs w:val="20"/>
                <w:u w:val="single"/>
              </w:rPr>
              <w:t>Genes associated with LTR7 regulatory elements</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2957</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2957</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1.00</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NA</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Naïve &amp; Primed hESC functional enhancers</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1703</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1822</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0.93</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0.001763</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1619 human-specific Naïve &amp; Primed hESC functional enhancers</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522</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203</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2.57</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1.67E-37</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TE loci expressed in human adult DLPFC</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2262</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2094</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1.08</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8.085E-07</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4690 human-specific TE loci expressed in human adult DLPFC</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1328</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661</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2.01</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4.04E-76</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associated with 59,732 HSRS</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2615</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2080</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1.26</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7.732E-68</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associated with 12,262 created de novo HSRS</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1390</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685</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2.03</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3.274E-83</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associated with HSRS (except genes linked with de novo HSRS)</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1225</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1395</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0.88</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9.634E-06</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70C0"/>
                <w:sz w:val="20"/>
                <w:szCs w:val="20"/>
                <w:u w:val="single"/>
              </w:rPr>
            </w:pPr>
            <w:r w:rsidRPr="00DF487C">
              <w:rPr>
                <w:rFonts w:ascii="Arial" w:hAnsi="Arial" w:cs="Arial"/>
                <w:bCs w:val="0"/>
                <w:sz w:val="20"/>
                <w:szCs w:val="20"/>
                <w:u w:val="single"/>
              </w:rPr>
              <w:t>Genes linked with MLT2A1 &amp; MLT2A2</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3971</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3971</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1.00</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NA</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Naïve &amp; Primed hESC functional enhancers</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2121</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2447</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0.87</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1.54E-13</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1619 human-specific Naïve &amp; Primed hESC functional enhancers</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655</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272</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2.40</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8.30E-41</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TE loci expressed in human adult DLPFC</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2059</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2811</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0.73</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1.30E-67</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4690 human-specific TE loci expressed in human adult DLPFC</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1903</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887</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2.15</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5.15E-117</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associated with 59,732 HSRS</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3525</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2794</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1.26</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1.66E-94</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associated with 12,262 created de novo HSRS</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1910</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920</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2.08</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1.12E-120</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associated with HSRS (except genes linked with de novo HSRS)</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1615</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1874</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0.86</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5.35E-09</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70C0"/>
                <w:sz w:val="20"/>
                <w:szCs w:val="20"/>
                <w:u w:val="single"/>
              </w:rPr>
            </w:pPr>
            <w:r w:rsidRPr="00DF487C">
              <w:rPr>
                <w:rFonts w:ascii="Arial" w:hAnsi="Arial" w:cs="Arial"/>
                <w:bCs w:val="0"/>
                <w:sz w:val="20"/>
                <w:szCs w:val="20"/>
                <w:u w:val="single"/>
              </w:rPr>
              <w:t>Genes linked with LTR7 &amp; MLT2A1 &amp; MLT2A2</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5444</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5444</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1.00</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NA</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Naïve &amp; Primed hESC functional enhancers</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3040</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3354</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0.91</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1.10E-09</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1619 human-specific Naïve &amp; Primed hESC functional enhancers</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814</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373</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2.18</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3.26E-43</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TE loci expressed in human adult DLPFC</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4147</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3854</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1.08</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2.24E-10</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linked with 4690 human-specific TE loci expressed in human adult DLPFC</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2306</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1216</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1.90</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7.80E-119</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associated with 59,732 HSRS</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4782</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3830</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1.25</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5.12E-114</w:t>
            </w:r>
          </w:p>
        </w:tc>
      </w:tr>
      <w:tr w:rsidR="00A80D1F" w:rsidRPr="00DF487C" w:rsidTr="00A20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associated with 12,262 created de novo HSRS</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2361</w:t>
            </w:r>
          </w:p>
        </w:tc>
        <w:tc>
          <w:tcPr>
            <w:tcW w:w="135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1261</w:t>
            </w:r>
          </w:p>
        </w:tc>
        <w:tc>
          <w:tcPr>
            <w:tcW w:w="25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szCs w:val="20"/>
              </w:rPr>
            </w:pPr>
            <w:r w:rsidRPr="00DF487C">
              <w:rPr>
                <w:rFonts w:ascii="Arial" w:hAnsi="Arial" w:cs="Arial"/>
                <w:b/>
                <w:bCs/>
                <w:color w:val="000000"/>
                <w:sz w:val="20"/>
                <w:szCs w:val="20"/>
              </w:rPr>
              <w:t>1.87</w:t>
            </w:r>
          </w:p>
        </w:tc>
        <w:tc>
          <w:tcPr>
            <w:tcW w:w="1620" w:type="dxa"/>
          </w:tcPr>
          <w:p w:rsidR="00A80D1F" w:rsidRPr="00DF487C" w:rsidRDefault="00A80D1F" w:rsidP="00A20D7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5.66E-112</w:t>
            </w:r>
          </w:p>
        </w:tc>
      </w:tr>
      <w:tr w:rsidR="00A80D1F" w:rsidRPr="00DF487C" w:rsidTr="00A20D76">
        <w:tc>
          <w:tcPr>
            <w:cnfStyle w:val="001000000000" w:firstRow="0" w:lastRow="0" w:firstColumn="1" w:lastColumn="0" w:oddVBand="0" w:evenVBand="0" w:oddHBand="0" w:evenHBand="0" w:firstRowFirstColumn="0" w:firstRowLastColumn="0" w:lastRowFirstColumn="0" w:lastRowLastColumn="0"/>
            <w:tcW w:w="6840" w:type="dxa"/>
          </w:tcPr>
          <w:p w:rsidR="00A80D1F" w:rsidRPr="00DF487C" w:rsidRDefault="00A80D1F" w:rsidP="00A20D76">
            <w:pPr>
              <w:jc w:val="center"/>
              <w:rPr>
                <w:rFonts w:ascii="Arial" w:hAnsi="Arial" w:cs="Arial"/>
                <w:color w:val="000000"/>
                <w:sz w:val="20"/>
                <w:szCs w:val="20"/>
              </w:rPr>
            </w:pPr>
            <w:r w:rsidRPr="00DF487C">
              <w:rPr>
                <w:rFonts w:ascii="Arial" w:hAnsi="Arial" w:cs="Arial"/>
                <w:bCs w:val="0"/>
                <w:color w:val="000000"/>
                <w:sz w:val="20"/>
                <w:szCs w:val="20"/>
              </w:rPr>
              <w:t>Genes associated with HSRS (except genes linked with de novo HSRS)</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2421</w:t>
            </w:r>
          </w:p>
        </w:tc>
        <w:tc>
          <w:tcPr>
            <w:tcW w:w="135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2569</w:t>
            </w:r>
          </w:p>
        </w:tc>
        <w:tc>
          <w:tcPr>
            <w:tcW w:w="25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0.94</w:t>
            </w:r>
          </w:p>
        </w:tc>
        <w:tc>
          <w:tcPr>
            <w:tcW w:w="1620" w:type="dxa"/>
          </w:tcPr>
          <w:p w:rsidR="00A80D1F" w:rsidRPr="00DF487C" w:rsidRDefault="00A80D1F" w:rsidP="00A20D7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DF487C">
              <w:rPr>
                <w:rFonts w:ascii="Arial" w:hAnsi="Arial" w:cs="Arial"/>
                <w:color w:val="000000"/>
                <w:sz w:val="20"/>
                <w:szCs w:val="20"/>
              </w:rPr>
              <w:t>0.0046903</w:t>
            </w:r>
          </w:p>
        </w:tc>
      </w:tr>
    </w:tbl>
    <w:p w:rsidR="00A80D1F" w:rsidRPr="00DF487C" w:rsidRDefault="00A80D1F" w:rsidP="00A80D1F">
      <w:pPr>
        <w:rPr>
          <w:rFonts w:ascii="Arial" w:hAnsi="Arial" w:cs="Arial"/>
          <w:sz w:val="20"/>
          <w:szCs w:val="20"/>
        </w:rPr>
      </w:pPr>
      <w:r w:rsidRPr="00DF487C">
        <w:rPr>
          <w:rFonts w:ascii="Arial" w:hAnsi="Arial" w:cs="Arial"/>
          <w:sz w:val="20"/>
          <w:szCs w:val="20"/>
        </w:rPr>
        <w:t>Legend: *, 2-tail p values were estimated using the Fisher's exact test.</w:t>
      </w:r>
    </w:p>
    <w:p w:rsidR="00A80D1F" w:rsidRDefault="00A80D1F" w:rsidP="00A80D1F">
      <w:pPr>
        <w:spacing w:line="240" w:lineRule="auto"/>
        <w:rPr>
          <w:rFonts w:ascii="Arial" w:hAnsi="Arial" w:cs="Arial"/>
        </w:rPr>
      </w:pPr>
    </w:p>
    <w:p w:rsidR="00A80D1F" w:rsidRDefault="00A80D1F" w:rsidP="00A80D1F">
      <w:pPr>
        <w:spacing w:line="240" w:lineRule="auto"/>
        <w:rPr>
          <w:rFonts w:ascii="Arial" w:hAnsi="Arial" w:cs="Arial"/>
        </w:rPr>
      </w:pPr>
    </w:p>
    <w:p w:rsidR="00A80D1F" w:rsidRDefault="00A80D1F" w:rsidP="00A80D1F">
      <w:pPr>
        <w:spacing w:line="240" w:lineRule="auto"/>
        <w:rPr>
          <w:rFonts w:ascii="Arial" w:hAnsi="Arial" w:cs="Arial"/>
        </w:rPr>
      </w:pPr>
    </w:p>
    <w:p w:rsidR="00A80D1F" w:rsidRDefault="00A80D1F" w:rsidP="008C7176">
      <w:pPr>
        <w:spacing w:line="240" w:lineRule="auto"/>
        <w:ind w:firstLine="720"/>
        <w:rPr>
          <w:rFonts w:ascii="Arial" w:hAnsi="Arial" w:cs="Arial"/>
        </w:rPr>
      </w:pPr>
    </w:p>
    <w:p w:rsidR="00A80D1F" w:rsidRDefault="00A80D1F" w:rsidP="008C7176">
      <w:pPr>
        <w:spacing w:line="240" w:lineRule="auto"/>
        <w:ind w:firstLine="720"/>
        <w:rPr>
          <w:rFonts w:ascii="Arial" w:hAnsi="Arial" w:cs="Arial"/>
        </w:rPr>
      </w:pPr>
    </w:p>
    <w:p w:rsidR="00A80D1F" w:rsidRDefault="00A80D1F" w:rsidP="008C7176">
      <w:pPr>
        <w:spacing w:line="240" w:lineRule="auto"/>
        <w:ind w:firstLine="720"/>
        <w:rPr>
          <w:rFonts w:ascii="Arial" w:hAnsi="Arial" w:cs="Arial"/>
        </w:rPr>
      </w:pPr>
    </w:p>
    <w:p w:rsidR="009D3A82" w:rsidRDefault="009D3A82" w:rsidP="00A80D1F">
      <w:pPr>
        <w:rPr>
          <w:rFonts w:ascii="Arial" w:hAnsi="Arial"/>
          <w:b/>
        </w:rPr>
      </w:pPr>
      <w:r w:rsidRPr="009D3A82">
        <w:rPr>
          <w:rFonts w:ascii="Arial" w:hAnsi="Arial"/>
          <w:b/>
        </w:rPr>
        <w:object w:dxaOrig="11280" w:dyaOrig="13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4pt;height:669pt" o:ole="">
            <v:imagedata r:id="rId8" o:title=""/>
          </v:shape>
          <o:OLEObject Type="Embed" ProgID="Acrobat.Document.DC" ShapeID="_x0000_i1025" DrawAspect="Content" ObjectID="_1792186149" r:id="rId9"/>
        </w:object>
      </w:r>
    </w:p>
    <w:p w:rsidR="00A80D1F" w:rsidRPr="00A71EB1" w:rsidRDefault="00A80D1F" w:rsidP="00A80D1F">
      <w:pPr>
        <w:rPr>
          <w:rFonts w:ascii="Arial" w:hAnsi="Arial"/>
        </w:rPr>
      </w:pPr>
      <w:r>
        <w:rPr>
          <w:rFonts w:ascii="Arial" w:hAnsi="Arial"/>
          <w:b/>
        </w:rPr>
        <w:t>Figure 7</w:t>
      </w:r>
      <w:r w:rsidRPr="007154B1">
        <w:rPr>
          <w:rFonts w:ascii="Arial" w:hAnsi="Arial"/>
          <w:b/>
        </w:rPr>
        <w:t>.</w:t>
      </w:r>
      <w:r>
        <w:rPr>
          <w:rFonts w:ascii="Arial" w:hAnsi="Arial"/>
        </w:rPr>
        <w:t xml:space="preserve"> Regulatory cross-talks of 8,839 human embryo regulatory LTR elements and 110,339 human specific regulatory sequences (HSRS) representing different families of HSRS. </w:t>
      </w:r>
      <w:r w:rsidRPr="00EB5E3F">
        <w:rPr>
          <w:rFonts w:ascii="Arial" w:hAnsi="Arial" w:cs="Arial"/>
        </w:rPr>
        <w:t xml:space="preserve">Comparative analyses of </w:t>
      </w:r>
      <w:r w:rsidRPr="00EB5E3F">
        <w:rPr>
          <w:rFonts w:ascii="Arial" w:hAnsi="Arial" w:cs="Arial"/>
        </w:rPr>
        <w:lastRenderedPageBreak/>
        <w:t xml:space="preserve">enrichment and abundance patterns of genes comprising candidate down-stream regulatory targets of human embryo </w:t>
      </w:r>
      <w:r>
        <w:rPr>
          <w:rFonts w:ascii="Arial" w:hAnsi="Arial" w:cs="Arial"/>
        </w:rPr>
        <w:t>regulatory LTR</w:t>
      </w:r>
      <w:r w:rsidRPr="00EB5E3F">
        <w:rPr>
          <w:rFonts w:ascii="Arial" w:hAnsi="Arial" w:cs="Arial"/>
        </w:rPr>
        <w:t xml:space="preserve"> elements. Genes identified in this contribution as candidate down-stream regulatory targets of human embryo </w:t>
      </w:r>
      <w:r>
        <w:rPr>
          <w:rFonts w:ascii="Arial" w:hAnsi="Arial" w:cs="Arial"/>
        </w:rPr>
        <w:t>regulatory LTR</w:t>
      </w:r>
      <w:r w:rsidRPr="00EB5E3F">
        <w:rPr>
          <w:rFonts w:ascii="Arial" w:hAnsi="Arial" w:cs="Arial"/>
        </w:rPr>
        <w:t xml:space="preserve"> elements were compared with previously reported gene sets expression of which is governed by different categories of genomic regulatory loci, including various families of primate-specific and human-specific regulatory sequences (HSRS). Panels A; C; E; G report graphical summaries of the enrichment analyses, while Panels B; D; F; H report graphical summaries of the analyses of abundance profiles. Results of the analyses of 3971 down-stream target genes associated with MLT2A1 &amp; MLT2A2 loci and 2955 genes associated with LTR7 elements are shown in the panels (A; B) and (C; D), respectively. Panels (E; F) report results of the analyses of a cumulative set of 5444 genes comprising </w:t>
      </w:r>
      <w:r>
        <w:rPr>
          <w:rFonts w:ascii="Arial" w:hAnsi="Arial" w:cs="Arial"/>
        </w:rPr>
        <w:t xml:space="preserve">a cumulative set of </w:t>
      </w:r>
      <w:r w:rsidRPr="00EB5E3F">
        <w:rPr>
          <w:rFonts w:ascii="Arial" w:hAnsi="Arial" w:cs="Arial"/>
        </w:rPr>
        <w:t>candidate down-stream regulatory targets of LTR7, MLT2A1, and MLT2A2 human embryo regulatory LTRs. Panels (G; H) show results of the analyses of a common set of 709 down-stream regulatory target genes shared by LTR7, MLT2A1, and MLT2A2 human embryo regulatory LTR elements.</w:t>
      </w:r>
      <w:r>
        <w:rPr>
          <w:rFonts w:ascii="Arial" w:hAnsi="Arial" w:cs="Arial"/>
        </w:rPr>
        <w:t xml:space="preserve"> Please refer to text for additional information and interpretations of reported observations. Detailed reports of the quantitative metrics pertinent to these analyses are presented in the Table 12; Supplementary Table S4 (Excel spreadsheets st1 – st5). </w:t>
      </w:r>
    </w:p>
    <w:p w:rsidR="00A80D1F" w:rsidRDefault="00A80D1F" w:rsidP="00A80D1F">
      <w:pPr>
        <w:spacing w:line="240" w:lineRule="auto"/>
        <w:rPr>
          <w:rFonts w:ascii="Arial" w:hAnsi="Arial" w:cs="Arial"/>
        </w:rPr>
      </w:pPr>
    </w:p>
    <w:p w:rsidR="00A73B29" w:rsidRDefault="00A73B29" w:rsidP="00A71EB1">
      <w:pPr>
        <w:autoSpaceDE w:val="0"/>
        <w:autoSpaceDN w:val="0"/>
        <w:adjustRightInd w:val="0"/>
        <w:spacing w:after="0" w:line="240" w:lineRule="auto"/>
        <w:rPr>
          <w:rFonts w:ascii="Arial" w:hAnsi="Arial" w:cs="Arial"/>
          <w:b/>
        </w:rPr>
      </w:pPr>
      <w:bookmarkStart w:id="0" w:name="_GoBack"/>
      <w:bookmarkEnd w:id="0"/>
    </w:p>
    <w:sectPr w:rsidR="00A73B29" w:rsidSect="00A73B29">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6B6C" w:rsidRDefault="00556B6C" w:rsidP="00E20E4F">
      <w:pPr>
        <w:spacing w:after="0" w:line="240" w:lineRule="auto"/>
      </w:pPr>
      <w:r>
        <w:separator/>
      </w:r>
    </w:p>
  </w:endnote>
  <w:endnote w:type="continuationSeparator" w:id="0">
    <w:p w:rsidR="00556B6C" w:rsidRDefault="00556B6C" w:rsidP="00E20E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6B6C" w:rsidRDefault="00556B6C" w:rsidP="00E20E4F">
      <w:pPr>
        <w:spacing w:after="0" w:line="240" w:lineRule="auto"/>
      </w:pPr>
      <w:r>
        <w:separator/>
      </w:r>
    </w:p>
  </w:footnote>
  <w:footnote w:type="continuationSeparator" w:id="0">
    <w:p w:rsidR="00556B6C" w:rsidRDefault="00556B6C" w:rsidP="00E20E4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1FA22DF"/>
    <w:multiLevelType w:val="hybridMultilevel"/>
    <w:tmpl w:val="0DE44B92"/>
    <w:lvl w:ilvl="0" w:tplc="CEFE822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63B4"/>
    <w:rsid w:val="000002DA"/>
    <w:rsid w:val="0000087D"/>
    <w:rsid w:val="000048E2"/>
    <w:rsid w:val="00006C6B"/>
    <w:rsid w:val="00006FB0"/>
    <w:rsid w:val="00007A52"/>
    <w:rsid w:val="000127E6"/>
    <w:rsid w:val="000149AB"/>
    <w:rsid w:val="0002291A"/>
    <w:rsid w:val="00030F22"/>
    <w:rsid w:val="000323C6"/>
    <w:rsid w:val="00033C20"/>
    <w:rsid w:val="000353EE"/>
    <w:rsid w:val="00037720"/>
    <w:rsid w:val="00037751"/>
    <w:rsid w:val="00037782"/>
    <w:rsid w:val="00042B24"/>
    <w:rsid w:val="000446B9"/>
    <w:rsid w:val="00045270"/>
    <w:rsid w:val="00045AF1"/>
    <w:rsid w:val="00047DF0"/>
    <w:rsid w:val="00053BBC"/>
    <w:rsid w:val="000562BC"/>
    <w:rsid w:val="000638D2"/>
    <w:rsid w:val="000659A2"/>
    <w:rsid w:val="0007081F"/>
    <w:rsid w:val="00070950"/>
    <w:rsid w:val="00075490"/>
    <w:rsid w:val="00076C2E"/>
    <w:rsid w:val="00077633"/>
    <w:rsid w:val="00087AA0"/>
    <w:rsid w:val="000928F5"/>
    <w:rsid w:val="00092EDF"/>
    <w:rsid w:val="0009632E"/>
    <w:rsid w:val="000A0C68"/>
    <w:rsid w:val="000A1EAE"/>
    <w:rsid w:val="000A2FFB"/>
    <w:rsid w:val="000A3705"/>
    <w:rsid w:val="000A4AFD"/>
    <w:rsid w:val="000A4FC1"/>
    <w:rsid w:val="000A50D6"/>
    <w:rsid w:val="000A614E"/>
    <w:rsid w:val="000A6B87"/>
    <w:rsid w:val="000B12AD"/>
    <w:rsid w:val="000B2874"/>
    <w:rsid w:val="000B318D"/>
    <w:rsid w:val="000B4A50"/>
    <w:rsid w:val="000C02BD"/>
    <w:rsid w:val="000C13B7"/>
    <w:rsid w:val="000C159B"/>
    <w:rsid w:val="000C1826"/>
    <w:rsid w:val="000C1B86"/>
    <w:rsid w:val="000C2954"/>
    <w:rsid w:val="000C4A92"/>
    <w:rsid w:val="000C6172"/>
    <w:rsid w:val="000C6616"/>
    <w:rsid w:val="000D0A25"/>
    <w:rsid w:val="000D12D5"/>
    <w:rsid w:val="000D2A1E"/>
    <w:rsid w:val="000D533F"/>
    <w:rsid w:val="000D625C"/>
    <w:rsid w:val="000D668A"/>
    <w:rsid w:val="000E093D"/>
    <w:rsid w:val="000E37F7"/>
    <w:rsid w:val="000E5C58"/>
    <w:rsid w:val="000E6574"/>
    <w:rsid w:val="000E711F"/>
    <w:rsid w:val="000E720A"/>
    <w:rsid w:val="000E7686"/>
    <w:rsid w:val="000F0BBA"/>
    <w:rsid w:val="000F2348"/>
    <w:rsid w:val="000F43A9"/>
    <w:rsid w:val="000F6A18"/>
    <w:rsid w:val="000F6C8B"/>
    <w:rsid w:val="00100702"/>
    <w:rsid w:val="00100FE1"/>
    <w:rsid w:val="001010C4"/>
    <w:rsid w:val="00106AD4"/>
    <w:rsid w:val="00107F60"/>
    <w:rsid w:val="0011221D"/>
    <w:rsid w:val="00112289"/>
    <w:rsid w:val="0011282A"/>
    <w:rsid w:val="00113180"/>
    <w:rsid w:val="001145C5"/>
    <w:rsid w:val="00115076"/>
    <w:rsid w:val="001163B1"/>
    <w:rsid w:val="00116704"/>
    <w:rsid w:val="00116A0F"/>
    <w:rsid w:val="00122869"/>
    <w:rsid w:val="001234ED"/>
    <w:rsid w:val="00127EB6"/>
    <w:rsid w:val="0013005B"/>
    <w:rsid w:val="00130CE4"/>
    <w:rsid w:val="001319A2"/>
    <w:rsid w:val="001324D7"/>
    <w:rsid w:val="001415F7"/>
    <w:rsid w:val="001419D9"/>
    <w:rsid w:val="00142568"/>
    <w:rsid w:val="00143C92"/>
    <w:rsid w:val="001455A0"/>
    <w:rsid w:val="001549D0"/>
    <w:rsid w:val="001561CF"/>
    <w:rsid w:val="00157DC9"/>
    <w:rsid w:val="001612AC"/>
    <w:rsid w:val="001636B3"/>
    <w:rsid w:val="001663A2"/>
    <w:rsid w:val="00167CF3"/>
    <w:rsid w:val="00170773"/>
    <w:rsid w:val="0017634A"/>
    <w:rsid w:val="001768C5"/>
    <w:rsid w:val="00176F41"/>
    <w:rsid w:val="001816AB"/>
    <w:rsid w:val="00181EF1"/>
    <w:rsid w:val="00182EA1"/>
    <w:rsid w:val="00184C68"/>
    <w:rsid w:val="0018514D"/>
    <w:rsid w:val="00185346"/>
    <w:rsid w:val="0018538C"/>
    <w:rsid w:val="001866F8"/>
    <w:rsid w:val="00187527"/>
    <w:rsid w:val="00187E77"/>
    <w:rsid w:val="00190150"/>
    <w:rsid w:val="001913EC"/>
    <w:rsid w:val="00195A9A"/>
    <w:rsid w:val="00196659"/>
    <w:rsid w:val="001A0A8E"/>
    <w:rsid w:val="001A62AD"/>
    <w:rsid w:val="001B0C94"/>
    <w:rsid w:val="001C0263"/>
    <w:rsid w:val="001C238F"/>
    <w:rsid w:val="001C568C"/>
    <w:rsid w:val="001D1218"/>
    <w:rsid w:val="001D4562"/>
    <w:rsid w:val="001D7695"/>
    <w:rsid w:val="001E07C6"/>
    <w:rsid w:val="001E21A1"/>
    <w:rsid w:val="001E2B7F"/>
    <w:rsid w:val="001E3E0C"/>
    <w:rsid w:val="001E66DF"/>
    <w:rsid w:val="001F0240"/>
    <w:rsid w:val="001F1D1E"/>
    <w:rsid w:val="001F25C3"/>
    <w:rsid w:val="001F4EA4"/>
    <w:rsid w:val="001F6A6C"/>
    <w:rsid w:val="001F7FB3"/>
    <w:rsid w:val="002005B0"/>
    <w:rsid w:val="0020218B"/>
    <w:rsid w:val="00204A53"/>
    <w:rsid w:val="002056C3"/>
    <w:rsid w:val="002058A9"/>
    <w:rsid w:val="00206BA6"/>
    <w:rsid w:val="00210200"/>
    <w:rsid w:val="0021076C"/>
    <w:rsid w:val="002136C9"/>
    <w:rsid w:val="00213BBD"/>
    <w:rsid w:val="00215037"/>
    <w:rsid w:val="002216B8"/>
    <w:rsid w:val="00223FCC"/>
    <w:rsid w:val="00226C00"/>
    <w:rsid w:val="00231CCE"/>
    <w:rsid w:val="00235C79"/>
    <w:rsid w:val="00237427"/>
    <w:rsid w:val="00240B61"/>
    <w:rsid w:val="00242BA1"/>
    <w:rsid w:val="0024415E"/>
    <w:rsid w:val="00244F29"/>
    <w:rsid w:val="00251585"/>
    <w:rsid w:val="0025598C"/>
    <w:rsid w:val="002573C7"/>
    <w:rsid w:val="002672BE"/>
    <w:rsid w:val="002677EE"/>
    <w:rsid w:val="002741DF"/>
    <w:rsid w:val="002805AF"/>
    <w:rsid w:val="0028151A"/>
    <w:rsid w:val="00282085"/>
    <w:rsid w:val="00285455"/>
    <w:rsid w:val="002856A6"/>
    <w:rsid w:val="00286129"/>
    <w:rsid w:val="00291B96"/>
    <w:rsid w:val="00291D66"/>
    <w:rsid w:val="00293E1C"/>
    <w:rsid w:val="0029530A"/>
    <w:rsid w:val="00295642"/>
    <w:rsid w:val="00295672"/>
    <w:rsid w:val="002A02F7"/>
    <w:rsid w:val="002A0531"/>
    <w:rsid w:val="002A18BB"/>
    <w:rsid w:val="002A5E50"/>
    <w:rsid w:val="002A757B"/>
    <w:rsid w:val="002A7D92"/>
    <w:rsid w:val="002B0A0E"/>
    <w:rsid w:val="002B3FAF"/>
    <w:rsid w:val="002B7A0E"/>
    <w:rsid w:val="002C06E4"/>
    <w:rsid w:val="002C2071"/>
    <w:rsid w:val="002C252B"/>
    <w:rsid w:val="002C25AF"/>
    <w:rsid w:val="002C2CD7"/>
    <w:rsid w:val="002C3C37"/>
    <w:rsid w:val="002D06E1"/>
    <w:rsid w:val="002D0B2B"/>
    <w:rsid w:val="002D21B1"/>
    <w:rsid w:val="002D2995"/>
    <w:rsid w:val="002D363D"/>
    <w:rsid w:val="002D6043"/>
    <w:rsid w:val="002D65B4"/>
    <w:rsid w:val="002E0A19"/>
    <w:rsid w:val="002E4A69"/>
    <w:rsid w:val="002E5E08"/>
    <w:rsid w:val="002F30F8"/>
    <w:rsid w:val="002F48AE"/>
    <w:rsid w:val="002F5992"/>
    <w:rsid w:val="002F5BCA"/>
    <w:rsid w:val="002F63B4"/>
    <w:rsid w:val="0030077E"/>
    <w:rsid w:val="003041F3"/>
    <w:rsid w:val="003102D3"/>
    <w:rsid w:val="00313339"/>
    <w:rsid w:val="00314FAA"/>
    <w:rsid w:val="0031667D"/>
    <w:rsid w:val="00317ACA"/>
    <w:rsid w:val="003201AD"/>
    <w:rsid w:val="003203DE"/>
    <w:rsid w:val="00323AFF"/>
    <w:rsid w:val="00326C8B"/>
    <w:rsid w:val="003271D1"/>
    <w:rsid w:val="0033237F"/>
    <w:rsid w:val="00332EDB"/>
    <w:rsid w:val="00333203"/>
    <w:rsid w:val="00340EF0"/>
    <w:rsid w:val="003446EE"/>
    <w:rsid w:val="003549A8"/>
    <w:rsid w:val="00356842"/>
    <w:rsid w:val="00364398"/>
    <w:rsid w:val="0036741A"/>
    <w:rsid w:val="00370A26"/>
    <w:rsid w:val="00375CA0"/>
    <w:rsid w:val="00375EE9"/>
    <w:rsid w:val="00376108"/>
    <w:rsid w:val="00377A81"/>
    <w:rsid w:val="00385BD1"/>
    <w:rsid w:val="003864CE"/>
    <w:rsid w:val="00390220"/>
    <w:rsid w:val="00392C1F"/>
    <w:rsid w:val="00397117"/>
    <w:rsid w:val="003A34A0"/>
    <w:rsid w:val="003A3A70"/>
    <w:rsid w:val="003A516B"/>
    <w:rsid w:val="003B121D"/>
    <w:rsid w:val="003B4282"/>
    <w:rsid w:val="003B47C8"/>
    <w:rsid w:val="003B4F2E"/>
    <w:rsid w:val="003B5859"/>
    <w:rsid w:val="003C10C1"/>
    <w:rsid w:val="003C1EB3"/>
    <w:rsid w:val="003C1FA2"/>
    <w:rsid w:val="003C1FC8"/>
    <w:rsid w:val="003C48D8"/>
    <w:rsid w:val="003C53E0"/>
    <w:rsid w:val="003C5CFA"/>
    <w:rsid w:val="003D036C"/>
    <w:rsid w:val="003D34AC"/>
    <w:rsid w:val="003D3BE5"/>
    <w:rsid w:val="003D64CE"/>
    <w:rsid w:val="003E04CB"/>
    <w:rsid w:val="003E2AD2"/>
    <w:rsid w:val="003E2B3A"/>
    <w:rsid w:val="003E426A"/>
    <w:rsid w:val="003E622F"/>
    <w:rsid w:val="003F0EBE"/>
    <w:rsid w:val="003F1B94"/>
    <w:rsid w:val="003F3E05"/>
    <w:rsid w:val="003F460D"/>
    <w:rsid w:val="003F61D4"/>
    <w:rsid w:val="0040035F"/>
    <w:rsid w:val="00407656"/>
    <w:rsid w:val="00407C6F"/>
    <w:rsid w:val="004111DC"/>
    <w:rsid w:val="00415C01"/>
    <w:rsid w:val="0042161F"/>
    <w:rsid w:val="004217EE"/>
    <w:rsid w:val="00423533"/>
    <w:rsid w:val="004236CE"/>
    <w:rsid w:val="0042528D"/>
    <w:rsid w:val="0042733A"/>
    <w:rsid w:val="0043000B"/>
    <w:rsid w:val="00430932"/>
    <w:rsid w:val="0043426C"/>
    <w:rsid w:val="00434DAF"/>
    <w:rsid w:val="0043779B"/>
    <w:rsid w:val="00440498"/>
    <w:rsid w:val="0044518F"/>
    <w:rsid w:val="00445ABC"/>
    <w:rsid w:val="0044634F"/>
    <w:rsid w:val="0044662C"/>
    <w:rsid w:val="0044787E"/>
    <w:rsid w:val="004505B7"/>
    <w:rsid w:val="00454254"/>
    <w:rsid w:val="00454CF9"/>
    <w:rsid w:val="004551AE"/>
    <w:rsid w:val="004552DA"/>
    <w:rsid w:val="00455A0E"/>
    <w:rsid w:val="004567E3"/>
    <w:rsid w:val="0046067F"/>
    <w:rsid w:val="00461467"/>
    <w:rsid w:val="00461A1B"/>
    <w:rsid w:val="00461E1F"/>
    <w:rsid w:val="00462696"/>
    <w:rsid w:val="00463D86"/>
    <w:rsid w:val="00464446"/>
    <w:rsid w:val="00466B26"/>
    <w:rsid w:val="0047126B"/>
    <w:rsid w:val="00471987"/>
    <w:rsid w:val="00472C18"/>
    <w:rsid w:val="00473DA4"/>
    <w:rsid w:val="0047603B"/>
    <w:rsid w:val="00477CC7"/>
    <w:rsid w:val="00480D8D"/>
    <w:rsid w:val="00482720"/>
    <w:rsid w:val="00482C1C"/>
    <w:rsid w:val="004838EA"/>
    <w:rsid w:val="0048611C"/>
    <w:rsid w:val="004878BC"/>
    <w:rsid w:val="00487E98"/>
    <w:rsid w:val="004944C8"/>
    <w:rsid w:val="00494CAA"/>
    <w:rsid w:val="004961EC"/>
    <w:rsid w:val="004962C2"/>
    <w:rsid w:val="004972DE"/>
    <w:rsid w:val="004A148B"/>
    <w:rsid w:val="004A2050"/>
    <w:rsid w:val="004A3170"/>
    <w:rsid w:val="004A62F6"/>
    <w:rsid w:val="004A6DA0"/>
    <w:rsid w:val="004A6FBC"/>
    <w:rsid w:val="004B0E06"/>
    <w:rsid w:val="004B490F"/>
    <w:rsid w:val="004B69A4"/>
    <w:rsid w:val="004B7D3E"/>
    <w:rsid w:val="004C09CF"/>
    <w:rsid w:val="004C0C3A"/>
    <w:rsid w:val="004C480D"/>
    <w:rsid w:val="004C5380"/>
    <w:rsid w:val="004D427F"/>
    <w:rsid w:val="004D4C8C"/>
    <w:rsid w:val="004D638F"/>
    <w:rsid w:val="004D6550"/>
    <w:rsid w:val="004E11CD"/>
    <w:rsid w:val="004E21C7"/>
    <w:rsid w:val="004E764D"/>
    <w:rsid w:val="004F1138"/>
    <w:rsid w:val="004F1B5D"/>
    <w:rsid w:val="004F1C5C"/>
    <w:rsid w:val="004F3826"/>
    <w:rsid w:val="004F3D53"/>
    <w:rsid w:val="004F3DF7"/>
    <w:rsid w:val="005017AC"/>
    <w:rsid w:val="0050475F"/>
    <w:rsid w:val="00506718"/>
    <w:rsid w:val="00507A09"/>
    <w:rsid w:val="005150FE"/>
    <w:rsid w:val="00516D2B"/>
    <w:rsid w:val="0052159A"/>
    <w:rsid w:val="00531140"/>
    <w:rsid w:val="00531701"/>
    <w:rsid w:val="00533608"/>
    <w:rsid w:val="00534686"/>
    <w:rsid w:val="00534954"/>
    <w:rsid w:val="00534CB4"/>
    <w:rsid w:val="005351C9"/>
    <w:rsid w:val="005352CF"/>
    <w:rsid w:val="00535316"/>
    <w:rsid w:val="0053629C"/>
    <w:rsid w:val="00537DEC"/>
    <w:rsid w:val="00540B4C"/>
    <w:rsid w:val="00542303"/>
    <w:rsid w:val="00544031"/>
    <w:rsid w:val="005466B9"/>
    <w:rsid w:val="00547B59"/>
    <w:rsid w:val="005501F5"/>
    <w:rsid w:val="0055568E"/>
    <w:rsid w:val="00555AB8"/>
    <w:rsid w:val="00555BDE"/>
    <w:rsid w:val="00556B6C"/>
    <w:rsid w:val="00556C89"/>
    <w:rsid w:val="00556DB6"/>
    <w:rsid w:val="005571EB"/>
    <w:rsid w:val="00565710"/>
    <w:rsid w:val="005673BE"/>
    <w:rsid w:val="00567BF4"/>
    <w:rsid w:val="00570F78"/>
    <w:rsid w:val="005734CC"/>
    <w:rsid w:val="005760B7"/>
    <w:rsid w:val="00576B29"/>
    <w:rsid w:val="00576B44"/>
    <w:rsid w:val="00576FAD"/>
    <w:rsid w:val="00577119"/>
    <w:rsid w:val="00577655"/>
    <w:rsid w:val="00584EAB"/>
    <w:rsid w:val="005909A0"/>
    <w:rsid w:val="00591898"/>
    <w:rsid w:val="00594F36"/>
    <w:rsid w:val="005A1F34"/>
    <w:rsid w:val="005A40F5"/>
    <w:rsid w:val="005A4FBF"/>
    <w:rsid w:val="005A53AF"/>
    <w:rsid w:val="005A72FC"/>
    <w:rsid w:val="005B005D"/>
    <w:rsid w:val="005B04C4"/>
    <w:rsid w:val="005B104D"/>
    <w:rsid w:val="005B3592"/>
    <w:rsid w:val="005B3EE3"/>
    <w:rsid w:val="005B590F"/>
    <w:rsid w:val="005C0E12"/>
    <w:rsid w:val="005C1110"/>
    <w:rsid w:val="005C26FB"/>
    <w:rsid w:val="005C4EBE"/>
    <w:rsid w:val="005D6BF0"/>
    <w:rsid w:val="005E0F7D"/>
    <w:rsid w:val="005E1212"/>
    <w:rsid w:val="005E1C9C"/>
    <w:rsid w:val="005E305B"/>
    <w:rsid w:val="005E5D5E"/>
    <w:rsid w:val="005E60DB"/>
    <w:rsid w:val="005E62A9"/>
    <w:rsid w:val="005E757B"/>
    <w:rsid w:val="005F25BE"/>
    <w:rsid w:val="005F32A5"/>
    <w:rsid w:val="006065DA"/>
    <w:rsid w:val="00611573"/>
    <w:rsid w:val="00616D9A"/>
    <w:rsid w:val="00621842"/>
    <w:rsid w:val="00622A00"/>
    <w:rsid w:val="00622E88"/>
    <w:rsid w:val="00627011"/>
    <w:rsid w:val="0063079F"/>
    <w:rsid w:val="00631B6F"/>
    <w:rsid w:val="006331B6"/>
    <w:rsid w:val="006344D1"/>
    <w:rsid w:val="00634D94"/>
    <w:rsid w:val="00637E64"/>
    <w:rsid w:val="0064034F"/>
    <w:rsid w:val="00641328"/>
    <w:rsid w:val="00645F30"/>
    <w:rsid w:val="00646AF7"/>
    <w:rsid w:val="006520DC"/>
    <w:rsid w:val="00653A59"/>
    <w:rsid w:val="006557BF"/>
    <w:rsid w:val="00663F81"/>
    <w:rsid w:val="00667F2A"/>
    <w:rsid w:val="00671C1D"/>
    <w:rsid w:val="00671DEF"/>
    <w:rsid w:val="00672F39"/>
    <w:rsid w:val="006735F5"/>
    <w:rsid w:val="00674A98"/>
    <w:rsid w:val="00676801"/>
    <w:rsid w:val="006772F1"/>
    <w:rsid w:val="006800F0"/>
    <w:rsid w:val="00681B80"/>
    <w:rsid w:val="00683A8A"/>
    <w:rsid w:val="00684569"/>
    <w:rsid w:val="0068757A"/>
    <w:rsid w:val="00690BAA"/>
    <w:rsid w:val="006952B1"/>
    <w:rsid w:val="0069537B"/>
    <w:rsid w:val="006976B1"/>
    <w:rsid w:val="006A1611"/>
    <w:rsid w:val="006A181F"/>
    <w:rsid w:val="006A76EA"/>
    <w:rsid w:val="006A7F75"/>
    <w:rsid w:val="006B2592"/>
    <w:rsid w:val="006B4B08"/>
    <w:rsid w:val="006B6B30"/>
    <w:rsid w:val="006B7D2B"/>
    <w:rsid w:val="006C4911"/>
    <w:rsid w:val="006D09D3"/>
    <w:rsid w:val="006D1832"/>
    <w:rsid w:val="006D1A91"/>
    <w:rsid w:val="006E13A2"/>
    <w:rsid w:val="006F50A1"/>
    <w:rsid w:val="006F51FA"/>
    <w:rsid w:val="006F68BC"/>
    <w:rsid w:val="006F6E4B"/>
    <w:rsid w:val="006F7C7C"/>
    <w:rsid w:val="006F7D91"/>
    <w:rsid w:val="00704849"/>
    <w:rsid w:val="00711F87"/>
    <w:rsid w:val="007135EB"/>
    <w:rsid w:val="0071371F"/>
    <w:rsid w:val="00715133"/>
    <w:rsid w:val="0071744C"/>
    <w:rsid w:val="00717719"/>
    <w:rsid w:val="00720BCF"/>
    <w:rsid w:val="0072144C"/>
    <w:rsid w:val="00721E65"/>
    <w:rsid w:val="00723BE1"/>
    <w:rsid w:val="00727687"/>
    <w:rsid w:val="007278C4"/>
    <w:rsid w:val="0073572D"/>
    <w:rsid w:val="007375BB"/>
    <w:rsid w:val="007411C9"/>
    <w:rsid w:val="00741B60"/>
    <w:rsid w:val="007420B2"/>
    <w:rsid w:val="007434A9"/>
    <w:rsid w:val="00746563"/>
    <w:rsid w:val="00747CB4"/>
    <w:rsid w:val="00747D2D"/>
    <w:rsid w:val="00752A73"/>
    <w:rsid w:val="0075582A"/>
    <w:rsid w:val="007558CD"/>
    <w:rsid w:val="00757A3D"/>
    <w:rsid w:val="00761091"/>
    <w:rsid w:val="00761926"/>
    <w:rsid w:val="007634A8"/>
    <w:rsid w:val="007639F3"/>
    <w:rsid w:val="00765046"/>
    <w:rsid w:val="0076523F"/>
    <w:rsid w:val="00765CCE"/>
    <w:rsid w:val="007721E1"/>
    <w:rsid w:val="00774B99"/>
    <w:rsid w:val="00775BD4"/>
    <w:rsid w:val="007761C1"/>
    <w:rsid w:val="00776DA4"/>
    <w:rsid w:val="007817B8"/>
    <w:rsid w:val="00784171"/>
    <w:rsid w:val="007868B1"/>
    <w:rsid w:val="00786E31"/>
    <w:rsid w:val="00790508"/>
    <w:rsid w:val="007921A3"/>
    <w:rsid w:val="00793034"/>
    <w:rsid w:val="00795577"/>
    <w:rsid w:val="0079649C"/>
    <w:rsid w:val="007A058E"/>
    <w:rsid w:val="007A3556"/>
    <w:rsid w:val="007A361B"/>
    <w:rsid w:val="007A3688"/>
    <w:rsid w:val="007A3914"/>
    <w:rsid w:val="007A4D68"/>
    <w:rsid w:val="007A540B"/>
    <w:rsid w:val="007A5DCB"/>
    <w:rsid w:val="007B72B7"/>
    <w:rsid w:val="007B7516"/>
    <w:rsid w:val="007C4D67"/>
    <w:rsid w:val="007D12F4"/>
    <w:rsid w:val="007D3772"/>
    <w:rsid w:val="007D43C3"/>
    <w:rsid w:val="007D74AD"/>
    <w:rsid w:val="007E0201"/>
    <w:rsid w:val="007E06A6"/>
    <w:rsid w:val="007E0A12"/>
    <w:rsid w:val="007E0E11"/>
    <w:rsid w:val="007E1AFA"/>
    <w:rsid w:val="007E2516"/>
    <w:rsid w:val="007E277A"/>
    <w:rsid w:val="007E720E"/>
    <w:rsid w:val="007E7D51"/>
    <w:rsid w:val="007F1645"/>
    <w:rsid w:val="007F17C6"/>
    <w:rsid w:val="007F5EF3"/>
    <w:rsid w:val="007F5F98"/>
    <w:rsid w:val="0080574C"/>
    <w:rsid w:val="008059DD"/>
    <w:rsid w:val="00810E8D"/>
    <w:rsid w:val="0081126E"/>
    <w:rsid w:val="00817198"/>
    <w:rsid w:val="0081720F"/>
    <w:rsid w:val="00817AFE"/>
    <w:rsid w:val="00822210"/>
    <w:rsid w:val="00824167"/>
    <w:rsid w:val="0082430F"/>
    <w:rsid w:val="00825682"/>
    <w:rsid w:val="00827994"/>
    <w:rsid w:val="0083180C"/>
    <w:rsid w:val="00834BB1"/>
    <w:rsid w:val="00843437"/>
    <w:rsid w:val="00847249"/>
    <w:rsid w:val="0084774A"/>
    <w:rsid w:val="00852A42"/>
    <w:rsid w:val="00852B9B"/>
    <w:rsid w:val="00852FC0"/>
    <w:rsid w:val="0085789A"/>
    <w:rsid w:val="00861682"/>
    <w:rsid w:val="008631FC"/>
    <w:rsid w:val="00866FAE"/>
    <w:rsid w:val="00873982"/>
    <w:rsid w:val="00876123"/>
    <w:rsid w:val="00881F71"/>
    <w:rsid w:val="00884B65"/>
    <w:rsid w:val="008873E1"/>
    <w:rsid w:val="00890D20"/>
    <w:rsid w:val="00894AB9"/>
    <w:rsid w:val="0089605A"/>
    <w:rsid w:val="008A1593"/>
    <w:rsid w:val="008A2CE1"/>
    <w:rsid w:val="008B06B2"/>
    <w:rsid w:val="008B16ED"/>
    <w:rsid w:val="008B4D63"/>
    <w:rsid w:val="008B50C1"/>
    <w:rsid w:val="008B743A"/>
    <w:rsid w:val="008B7930"/>
    <w:rsid w:val="008C1592"/>
    <w:rsid w:val="008C2F99"/>
    <w:rsid w:val="008C365D"/>
    <w:rsid w:val="008C6240"/>
    <w:rsid w:val="008C7176"/>
    <w:rsid w:val="008C7C86"/>
    <w:rsid w:val="008D052E"/>
    <w:rsid w:val="008D0D23"/>
    <w:rsid w:val="008D108D"/>
    <w:rsid w:val="008D3F74"/>
    <w:rsid w:val="008D480A"/>
    <w:rsid w:val="008D4F18"/>
    <w:rsid w:val="008D6A61"/>
    <w:rsid w:val="008E02A2"/>
    <w:rsid w:val="008E134F"/>
    <w:rsid w:val="008E1D0D"/>
    <w:rsid w:val="008E52D8"/>
    <w:rsid w:val="008F07AD"/>
    <w:rsid w:val="008F2F5A"/>
    <w:rsid w:val="008F32BC"/>
    <w:rsid w:val="008F38B1"/>
    <w:rsid w:val="00900CBE"/>
    <w:rsid w:val="009054F6"/>
    <w:rsid w:val="009065DF"/>
    <w:rsid w:val="009068D1"/>
    <w:rsid w:val="0090734A"/>
    <w:rsid w:val="00910A28"/>
    <w:rsid w:val="00910CBF"/>
    <w:rsid w:val="009131D2"/>
    <w:rsid w:val="00913E5C"/>
    <w:rsid w:val="00921527"/>
    <w:rsid w:val="00923525"/>
    <w:rsid w:val="00926B4D"/>
    <w:rsid w:val="009273CB"/>
    <w:rsid w:val="00930476"/>
    <w:rsid w:val="00930E64"/>
    <w:rsid w:val="00931372"/>
    <w:rsid w:val="009315F5"/>
    <w:rsid w:val="00933935"/>
    <w:rsid w:val="009346A7"/>
    <w:rsid w:val="00935C33"/>
    <w:rsid w:val="009400C3"/>
    <w:rsid w:val="009461A0"/>
    <w:rsid w:val="0095081B"/>
    <w:rsid w:val="00951336"/>
    <w:rsid w:val="00952BCA"/>
    <w:rsid w:val="00960D9D"/>
    <w:rsid w:val="00960ED7"/>
    <w:rsid w:val="0096490B"/>
    <w:rsid w:val="00965D62"/>
    <w:rsid w:val="00966920"/>
    <w:rsid w:val="00967468"/>
    <w:rsid w:val="009712B5"/>
    <w:rsid w:val="00980648"/>
    <w:rsid w:val="00981107"/>
    <w:rsid w:val="00983100"/>
    <w:rsid w:val="00985F0A"/>
    <w:rsid w:val="0098665E"/>
    <w:rsid w:val="00986B7A"/>
    <w:rsid w:val="00991A7C"/>
    <w:rsid w:val="00992F7E"/>
    <w:rsid w:val="0099362F"/>
    <w:rsid w:val="00994DA5"/>
    <w:rsid w:val="00996C41"/>
    <w:rsid w:val="009A0548"/>
    <w:rsid w:val="009A0CB2"/>
    <w:rsid w:val="009A4673"/>
    <w:rsid w:val="009A47E5"/>
    <w:rsid w:val="009A699F"/>
    <w:rsid w:val="009A6F58"/>
    <w:rsid w:val="009B0185"/>
    <w:rsid w:val="009B1123"/>
    <w:rsid w:val="009B1810"/>
    <w:rsid w:val="009B1A9D"/>
    <w:rsid w:val="009B3BDB"/>
    <w:rsid w:val="009B3C7B"/>
    <w:rsid w:val="009B450A"/>
    <w:rsid w:val="009B4EDD"/>
    <w:rsid w:val="009B54A8"/>
    <w:rsid w:val="009C3E2F"/>
    <w:rsid w:val="009C42C2"/>
    <w:rsid w:val="009C4463"/>
    <w:rsid w:val="009C5336"/>
    <w:rsid w:val="009C5715"/>
    <w:rsid w:val="009D3432"/>
    <w:rsid w:val="009D3A82"/>
    <w:rsid w:val="009D3DCF"/>
    <w:rsid w:val="009D6B69"/>
    <w:rsid w:val="009E04FD"/>
    <w:rsid w:val="009E1F7F"/>
    <w:rsid w:val="009F0CBC"/>
    <w:rsid w:val="009F2468"/>
    <w:rsid w:val="009F399A"/>
    <w:rsid w:val="009F45D1"/>
    <w:rsid w:val="009F5D2A"/>
    <w:rsid w:val="009F6AA6"/>
    <w:rsid w:val="00A017FF"/>
    <w:rsid w:val="00A025B3"/>
    <w:rsid w:val="00A03102"/>
    <w:rsid w:val="00A07242"/>
    <w:rsid w:val="00A07E1C"/>
    <w:rsid w:val="00A11C9A"/>
    <w:rsid w:val="00A11FB6"/>
    <w:rsid w:val="00A12C37"/>
    <w:rsid w:val="00A2047F"/>
    <w:rsid w:val="00A20FDC"/>
    <w:rsid w:val="00A22A53"/>
    <w:rsid w:val="00A26C6D"/>
    <w:rsid w:val="00A2732E"/>
    <w:rsid w:val="00A27555"/>
    <w:rsid w:val="00A27E56"/>
    <w:rsid w:val="00A31749"/>
    <w:rsid w:val="00A3308F"/>
    <w:rsid w:val="00A34C27"/>
    <w:rsid w:val="00A3703D"/>
    <w:rsid w:val="00A41649"/>
    <w:rsid w:val="00A45020"/>
    <w:rsid w:val="00A452E3"/>
    <w:rsid w:val="00A479D8"/>
    <w:rsid w:val="00A47C72"/>
    <w:rsid w:val="00A50848"/>
    <w:rsid w:val="00A527C3"/>
    <w:rsid w:val="00A611E3"/>
    <w:rsid w:val="00A71EB1"/>
    <w:rsid w:val="00A72835"/>
    <w:rsid w:val="00A73B29"/>
    <w:rsid w:val="00A75BE5"/>
    <w:rsid w:val="00A76902"/>
    <w:rsid w:val="00A76BAF"/>
    <w:rsid w:val="00A7762F"/>
    <w:rsid w:val="00A77665"/>
    <w:rsid w:val="00A80C6D"/>
    <w:rsid w:val="00A80D1F"/>
    <w:rsid w:val="00A8259E"/>
    <w:rsid w:val="00A842BB"/>
    <w:rsid w:val="00A86A8F"/>
    <w:rsid w:val="00A8799B"/>
    <w:rsid w:val="00A93C79"/>
    <w:rsid w:val="00A93E60"/>
    <w:rsid w:val="00A95A51"/>
    <w:rsid w:val="00AA36E5"/>
    <w:rsid w:val="00AA3CDE"/>
    <w:rsid w:val="00AA4BB7"/>
    <w:rsid w:val="00AA62CA"/>
    <w:rsid w:val="00AA643A"/>
    <w:rsid w:val="00AB1B3C"/>
    <w:rsid w:val="00AB30E2"/>
    <w:rsid w:val="00AB5AA1"/>
    <w:rsid w:val="00AB7A9A"/>
    <w:rsid w:val="00AC5987"/>
    <w:rsid w:val="00AC6BBC"/>
    <w:rsid w:val="00AC7528"/>
    <w:rsid w:val="00AD184E"/>
    <w:rsid w:val="00AD30B1"/>
    <w:rsid w:val="00AD3451"/>
    <w:rsid w:val="00AD5634"/>
    <w:rsid w:val="00AE1B00"/>
    <w:rsid w:val="00AE3185"/>
    <w:rsid w:val="00AE4C8F"/>
    <w:rsid w:val="00AF0178"/>
    <w:rsid w:val="00AF2CFB"/>
    <w:rsid w:val="00AF457A"/>
    <w:rsid w:val="00AF4F51"/>
    <w:rsid w:val="00AF778A"/>
    <w:rsid w:val="00B00197"/>
    <w:rsid w:val="00B00958"/>
    <w:rsid w:val="00B02E99"/>
    <w:rsid w:val="00B04E3B"/>
    <w:rsid w:val="00B1036F"/>
    <w:rsid w:val="00B10699"/>
    <w:rsid w:val="00B12F76"/>
    <w:rsid w:val="00B149F4"/>
    <w:rsid w:val="00B17B3D"/>
    <w:rsid w:val="00B17CFB"/>
    <w:rsid w:val="00B20C2F"/>
    <w:rsid w:val="00B22253"/>
    <w:rsid w:val="00B30264"/>
    <w:rsid w:val="00B31D27"/>
    <w:rsid w:val="00B35A10"/>
    <w:rsid w:val="00B36434"/>
    <w:rsid w:val="00B40A02"/>
    <w:rsid w:val="00B46C72"/>
    <w:rsid w:val="00B5060A"/>
    <w:rsid w:val="00B50872"/>
    <w:rsid w:val="00B50916"/>
    <w:rsid w:val="00B52B1F"/>
    <w:rsid w:val="00B6544D"/>
    <w:rsid w:val="00B65BE5"/>
    <w:rsid w:val="00B66008"/>
    <w:rsid w:val="00B674D0"/>
    <w:rsid w:val="00B678E6"/>
    <w:rsid w:val="00B71138"/>
    <w:rsid w:val="00B71746"/>
    <w:rsid w:val="00B7369A"/>
    <w:rsid w:val="00B75D0F"/>
    <w:rsid w:val="00B77DBF"/>
    <w:rsid w:val="00B81A1A"/>
    <w:rsid w:val="00B86256"/>
    <w:rsid w:val="00B87629"/>
    <w:rsid w:val="00B906AC"/>
    <w:rsid w:val="00B91D54"/>
    <w:rsid w:val="00B92A30"/>
    <w:rsid w:val="00B94C05"/>
    <w:rsid w:val="00B9505D"/>
    <w:rsid w:val="00B95CD5"/>
    <w:rsid w:val="00B968D8"/>
    <w:rsid w:val="00BA1A63"/>
    <w:rsid w:val="00BA79BF"/>
    <w:rsid w:val="00BB3138"/>
    <w:rsid w:val="00BB3549"/>
    <w:rsid w:val="00BB3C11"/>
    <w:rsid w:val="00BB5567"/>
    <w:rsid w:val="00BB6232"/>
    <w:rsid w:val="00BB7BAA"/>
    <w:rsid w:val="00BC0CB3"/>
    <w:rsid w:val="00BC2266"/>
    <w:rsid w:val="00BC2E5F"/>
    <w:rsid w:val="00BC5278"/>
    <w:rsid w:val="00BC5E38"/>
    <w:rsid w:val="00BC654E"/>
    <w:rsid w:val="00BD0A3C"/>
    <w:rsid w:val="00BD4CE5"/>
    <w:rsid w:val="00BD5CB4"/>
    <w:rsid w:val="00BD5ECC"/>
    <w:rsid w:val="00BD6BF4"/>
    <w:rsid w:val="00BD7C93"/>
    <w:rsid w:val="00BD7D69"/>
    <w:rsid w:val="00BE2973"/>
    <w:rsid w:val="00BE76FF"/>
    <w:rsid w:val="00BF22BB"/>
    <w:rsid w:val="00BF6CD9"/>
    <w:rsid w:val="00C04D6D"/>
    <w:rsid w:val="00C05349"/>
    <w:rsid w:val="00C06EB9"/>
    <w:rsid w:val="00C07EBB"/>
    <w:rsid w:val="00C128BC"/>
    <w:rsid w:val="00C1402F"/>
    <w:rsid w:val="00C15A88"/>
    <w:rsid w:val="00C16833"/>
    <w:rsid w:val="00C17A93"/>
    <w:rsid w:val="00C2102F"/>
    <w:rsid w:val="00C21E5A"/>
    <w:rsid w:val="00C26929"/>
    <w:rsid w:val="00C3059E"/>
    <w:rsid w:val="00C33EB0"/>
    <w:rsid w:val="00C41202"/>
    <w:rsid w:val="00C43AB8"/>
    <w:rsid w:val="00C44DEC"/>
    <w:rsid w:val="00C500A2"/>
    <w:rsid w:val="00C5055A"/>
    <w:rsid w:val="00C50C5F"/>
    <w:rsid w:val="00C51FCE"/>
    <w:rsid w:val="00C52362"/>
    <w:rsid w:val="00C53ED3"/>
    <w:rsid w:val="00C55167"/>
    <w:rsid w:val="00C556F9"/>
    <w:rsid w:val="00C614DB"/>
    <w:rsid w:val="00C6167F"/>
    <w:rsid w:val="00C63645"/>
    <w:rsid w:val="00C67650"/>
    <w:rsid w:val="00C7086F"/>
    <w:rsid w:val="00C71084"/>
    <w:rsid w:val="00C7125E"/>
    <w:rsid w:val="00C72234"/>
    <w:rsid w:val="00C72A58"/>
    <w:rsid w:val="00C733DF"/>
    <w:rsid w:val="00C75F69"/>
    <w:rsid w:val="00C76365"/>
    <w:rsid w:val="00C827B5"/>
    <w:rsid w:val="00C86528"/>
    <w:rsid w:val="00C873C3"/>
    <w:rsid w:val="00C9000B"/>
    <w:rsid w:val="00C90ADF"/>
    <w:rsid w:val="00C91230"/>
    <w:rsid w:val="00C9259A"/>
    <w:rsid w:val="00CA045F"/>
    <w:rsid w:val="00CA0836"/>
    <w:rsid w:val="00CA0D16"/>
    <w:rsid w:val="00CA35A9"/>
    <w:rsid w:val="00CA6555"/>
    <w:rsid w:val="00CA7DCD"/>
    <w:rsid w:val="00CA7FC2"/>
    <w:rsid w:val="00CB0863"/>
    <w:rsid w:val="00CB0A5C"/>
    <w:rsid w:val="00CB16A2"/>
    <w:rsid w:val="00CB1855"/>
    <w:rsid w:val="00CB399A"/>
    <w:rsid w:val="00CB3DA9"/>
    <w:rsid w:val="00CB4160"/>
    <w:rsid w:val="00CC2066"/>
    <w:rsid w:val="00CC733F"/>
    <w:rsid w:val="00CC784B"/>
    <w:rsid w:val="00CD0768"/>
    <w:rsid w:val="00CD0852"/>
    <w:rsid w:val="00CD08F1"/>
    <w:rsid w:val="00CD1195"/>
    <w:rsid w:val="00CD1A4E"/>
    <w:rsid w:val="00CD20E7"/>
    <w:rsid w:val="00CD3894"/>
    <w:rsid w:val="00CD73DE"/>
    <w:rsid w:val="00CE0B6D"/>
    <w:rsid w:val="00CE2050"/>
    <w:rsid w:val="00CE36CA"/>
    <w:rsid w:val="00CF3553"/>
    <w:rsid w:val="00CF4182"/>
    <w:rsid w:val="00CF5A9D"/>
    <w:rsid w:val="00CF5C6C"/>
    <w:rsid w:val="00CF5EB0"/>
    <w:rsid w:val="00CF6021"/>
    <w:rsid w:val="00CF7457"/>
    <w:rsid w:val="00CF7C15"/>
    <w:rsid w:val="00D0450E"/>
    <w:rsid w:val="00D05864"/>
    <w:rsid w:val="00D07621"/>
    <w:rsid w:val="00D12E80"/>
    <w:rsid w:val="00D142E2"/>
    <w:rsid w:val="00D15438"/>
    <w:rsid w:val="00D156AE"/>
    <w:rsid w:val="00D17324"/>
    <w:rsid w:val="00D17A16"/>
    <w:rsid w:val="00D20E4F"/>
    <w:rsid w:val="00D23840"/>
    <w:rsid w:val="00D264AE"/>
    <w:rsid w:val="00D27C86"/>
    <w:rsid w:val="00D30ECA"/>
    <w:rsid w:val="00D3107B"/>
    <w:rsid w:val="00D34CE2"/>
    <w:rsid w:val="00D403F6"/>
    <w:rsid w:val="00D40864"/>
    <w:rsid w:val="00D43ADE"/>
    <w:rsid w:val="00D4415B"/>
    <w:rsid w:val="00D4416C"/>
    <w:rsid w:val="00D451BF"/>
    <w:rsid w:val="00D47E14"/>
    <w:rsid w:val="00D52933"/>
    <w:rsid w:val="00D54A08"/>
    <w:rsid w:val="00D6117C"/>
    <w:rsid w:val="00D61FEA"/>
    <w:rsid w:val="00D65C57"/>
    <w:rsid w:val="00D6678B"/>
    <w:rsid w:val="00D66B48"/>
    <w:rsid w:val="00D71CAA"/>
    <w:rsid w:val="00D71D4E"/>
    <w:rsid w:val="00D73D49"/>
    <w:rsid w:val="00D753C2"/>
    <w:rsid w:val="00D76439"/>
    <w:rsid w:val="00D7669B"/>
    <w:rsid w:val="00D82232"/>
    <w:rsid w:val="00D87533"/>
    <w:rsid w:val="00D9017A"/>
    <w:rsid w:val="00DA0456"/>
    <w:rsid w:val="00DA0882"/>
    <w:rsid w:val="00DA2711"/>
    <w:rsid w:val="00DA2757"/>
    <w:rsid w:val="00DA30D0"/>
    <w:rsid w:val="00DA3B3A"/>
    <w:rsid w:val="00DB1060"/>
    <w:rsid w:val="00DB23F0"/>
    <w:rsid w:val="00DB29C2"/>
    <w:rsid w:val="00DB390C"/>
    <w:rsid w:val="00DB4478"/>
    <w:rsid w:val="00DB60C1"/>
    <w:rsid w:val="00DB6DD6"/>
    <w:rsid w:val="00DB7C96"/>
    <w:rsid w:val="00DC0011"/>
    <w:rsid w:val="00DC0B23"/>
    <w:rsid w:val="00DC433F"/>
    <w:rsid w:val="00DC48E4"/>
    <w:rsid w:val="00DD240F"/>
    <w:rsid w:val="00DD2A43"/>
    <w:rsid w:val="00DD2B56"/>
    <w:rsid w:val="00DD50CC"/>
    <w:rsid w:val="00DD5339"/>
    <w:rsid w:val="00DD69E1"/>
    <w:rsid w:val="00DD6FEC"/>
    <w:rsid w:val="00DE409E"/>
    <w:rsid w:val="00DE4236"/>
    <w:rsid w:val="00DE5BEC"/>
    <w:rsid w:val="00DE7028"/>
    <w:rsid w:val="00DF0B57"/>
    <w:rsid w:val="00DF487C"/>
    <w:rsid w:val="00DF7250"/>
    <w:rsid w:val="00DF7525"/>
    <w:rsid w:val="00DF77A8"/>
    <w:rsid w:val="00E01D70"/>
    <w:rsid w:val="00E02D3C"/>
    <w:rsid w:val="00E02E42"/>
    <w:rsid w:val="00E065C0"/>
    <w:rsid w:val="00E06BAC"/>
    <w:rsid w:val="00E06F58"/>
    <w:rsid w:val="00E07D74"/>
    <w:rsid w:val="00E1589A"/>
    <w:rsid w:val="00E20E4F"/>
    <w:rsid w:val="00E230F5"/>
    <w:rsid w:val="00E24865"/>
    <w:rsid w:val="00E24A41"/>
    <w:rsid w:val="00E24C9E"/>
    <w:rsid w:val="00E267E0"/>
    <w:rsid w:val="00E26A5D"/>
    <w:rsid w:val="00E26B20"/>
    <w:rsid w:val="00E27A5E"/>
    <w:rsid w:val="00E35CC8"/>
    <w:rsid w:val="00E376E7"/>
    <w:rsid w:val="00E42A55"/>
    <w:rsid w:val="00E43C76"/>
    <w:rsid w:val="00E4625A"/>
    <w:rsid w:val="00E5066E"/>
    <w:rsid w:val="00E51291"/>
    <w:rsid w:val="00E5269D"/>
    <w:rsid w:val="00E53764"/>
    <w:rsid w:val="00E53FB9"/>
    <w:rsid w:val="00E57FB5"/>
    <w:rsid w:val="00E603C4"/>
    <w:rsid w:val="00E60D31"/>
    <w:rsid w:val="00E63359"/>
    <w:rsid w:val="00E64BA0"/>
    <w:rsid w:val="00E65177"/>
    <w:rsid w:val="00E65921"/>
    <w:rsid w:val="00E71C7F"/>
    <w:rsid w:val="00E7525F"/>
    <w:rsid w:val="00E77D03"/>
    <w:rsid w:val="00E87703"/>
    <w:rsid w:val="00E927FB"/>
    <w:rsid w:val="00E94923"/>
    <w:rsid w:val="00E94BA7"/>
    <w:rsid w:val="00E957BC"/>
    <w:rsid w:val="00E96C45"/>
    <w:rsid w:val="00EA16A3"/>
    <w:rsid w:val="00EA221E"/>
    <w:rsid w:val="00EA2ED4"/>
    <w:rsid w:val="00EA30D4"/>
    <w:rsid w:val="00EA37C7"/>
    <w:rsid w:val="00EA46A5"/>
    <w:rsid w:val="00EB6A59"/>
    <w:rsid w:val="00EC0051"/>
    <w:rsid w:val="00EC3D3C"/>
    <w:rsid w:val="00EC5AA7"/>
    <w:rsid w:val="00ED0BE9"/>
    <w:rsid w:val="00ED367A"/>
    <w:rsid w:val="00ED75A6"/>
    <w:rsid w:val="00ED75EF"/>
    <w:rsid w:val="00EE0DE8"/>
    <w:rsid w:val="00EE1434"/>
    <w:rsid w:val="00EE6FDE"/>
    <w:rsid w:val="00EF05B7"/>
    <w:rsid w:val="00EF2B8C"/>
    <w:rsid w:val="00EF7FE9"/>
    <w:rsid w:val="00F0024E"/>
    <w:rsid w:val="00F051D9"/>
    <w:rsid w:val="00F05BC7"/>
    <w:rsid w:val="00F10BF3"/>
    <w:rsid w:val="00F115D3"/>
    <w:rsid w:val="00F127FD"/>
    <w:rsid w:val="00F13A31"/>
    <w:rsid w:val="00F213B2"/>
    <w:rsid w:val="00F22F0F"/>
    <w:rsid w:val="00F243A6"/>
    <w:rsid w:val="00F24492"/>
    <w:rsid w:val="00F247CC"/>
    <w:rsid w:val="00F30743"/>
    <w:rsid w:val="00F361F9"/>
    <w:rsid w:val="00F40224"/>
    <w:rsid w:val="00F41F07"/>
    <w:rsid w:val="00F43B79"/>
    <w:rsid w:val="00F450BB"/>
    <w:rsid w:val="00F4553B"/>
    <w:rsid w:val="00F47FF2"/>
    <w:rsid w:val="00F51ED0"/>
    <w:rsid w:val="00F544F8"/>
    <w:rsid w:val="00F54E2C"/>
    <w:rsid w:val="00F60334"/>
    <w:rsid w:val="00F61118"/>
    <w:rsid w:val="00F66653"/>
    <w:rsid w:val="00F66C7E"/>
    <w:rsid w:val="00F7311B"/>
    <w:rsid w:val="00F76221"/>
    <w:rsid w:val="00F76D4E"/>
    <w:rsid w:val="00F7783F"/>
    <w:rsid w:val="00F80EFB"/>
    <w:rsid w:val="00F92946"/>
    <w:rsid w:val="00F95281"/>
    <w:rsid w:val="00F95F40"/>
    <w:rsid w:val="00F97016"/>
    <w:rsid w:val="00F97832"/>
    <w:rsid w:val="00FA3F45"/>
    <w:rsid w:val="00FA54B6"/>
    <w:rsid w:val="00FA6267"/>
    <w:rsid w:val="00FB35DE"/>
    <w:rsid w:val="00FB3DA8"/>
    <w:rsid w:val="00FB6D3B"/>
    <w:rsid w:val="00FB6D3D"/>
    <w:rsid w:val="00FC554A"/>
    <w:rsid w:val="00FC5F5C"/>
    <w:rsid w:val="00FC7969"/>
    <w:rsid w:val="00FD2CCD"/>
    <w:rsid w:val="00FD3E91"/>
    <w:rsid w:val="00FD415B"/>
    <w:rsid w:val="00FD5F81"/>
    <w:rsid w:val="00FD72CC"/>
    <w:rsid w:val="00FD79D4"/>
    <w:rsid w:val="00FD7B51"/>
    <w:rsid w:val="00FE0FCE"/>
    <w:rsid w:val="00FE13F5"/>
    <w:rsid w:val="00FE1F3B"/>
    <w:rsid w:val="00FE3BBC"/>
    <w:rsid w:val="00FE4A38"/>
    <w:rsid w:val="00FE63C1"/>
    <w:rsid w:val="00FF2B65"/>
    <w:rsid w:val="00FF2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4297733-B733-480E-941E-D0F0B7493B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ndNoteBibliographyChar">
    <w:name w:val="EndNote Bibliography Char"/>
    <w:basedOn w:val="DefaultParagraphFont"/>
    <w:link w:val="EndNoteBibliography"/>
    <w:qFormat/>
    <w:rsid w:val="00A07E1C"/>
    <w:rPr>
      <w:rFonts w:ascii="Calibri" w:hAnsi="Calibri" w:cs="Times New Roman"/>
      <w:color w:val="00000A"/>
    </w:rPr>
  </w:style>
  <w:style w:type="paragraph" w:customStyle="1" w:styleId="EndNoteBibliography">
    <w:name w:val="EndNote Bibliography"/>
    <w:basedOn w:val="Normal"/>
    <w:link w:val="EndNoteBibliographyChar"/>
    <w:qFormat/>
    <w:rsid w:val="00A07E1C"/>
    <w:pPr>
      <w:spacing w:after="200" w:line="240" w:lineRule="auto"/>
    </w:pPr>
    <w:rPr>
      <w:rFonts w:ascii="Calibri" w:hAnsi="Calibri" w:cs="Times New Roman"/>
      <w:color w:val="00000A"/>
    </w:rPr>
  </w:style>
  <w:style w:type="character" w:styleId="Hyperlink">
    <w:name w:val="Hyperlink"/>
    <w:basedOn w:val="DefaultParagraphFont"/>
    <w:uiPriority w:val="99"/>
    <w:unhideWhenUsed/>
    <w:rsid w:val="00092EDF"/>
    <w:rPr>
      <w:color w:val="0563C1" w:themeColor="hyperlink"/>
      <w:u w:val="single"/>
    </w:rPr>
  </w:style>
  <w:style w:type="paragraph" w:styleId="Header">
    <w:name w:val="header"/>
    <w:basedOn w:val="Normal"/>
    <w:link w:val="HeaderChar"/>
    <w:uiPriority w:val="99"/>
    <w:unhideWhenUsed/>
    <w:rsid w:val="00E20E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20E4F"/>
  </w:style>
  <w:style w:type="paragraph" w:styleId="Footer">
    <w:name w:val="footer"/>
    <w:basedOn w:val="Normal"/>
    <w:link w:val="FooterChar"/>
    <w:uiPriority w:val="99"/>
    <w:unhideWhenUsed/>
    <w:rsid w:val="00E20E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20E4F"/>
  </w:style>
  <w:style w:type="paragraph" w:styleId="ListParagraph">
    <w:name w:val="List Paragraph"/>
    <w:basedOn w:val="Normal"/>
    <w:uiPriority w:val="34"/>
    <w:qFormat/>
    <w:rsid w:val="00AB30E2"/>
    <w:pPr>
      <w:ind w:left="720"/>
      <w:contextualSpacing/>
    </w:pPr>
  </w:style>
  <w:style w:type="character" w:styleId="FollowedHyperlink">
    <w:name w:val="FollowedHyperlink"/>
    <w:basedOn w:val="DefaultParagraphFont"/>
    <w:uiPriority w:val="99"/>
    <w:semiHidden/>
    <w:unhideWhenUsed/>
    <w:rsid w:val="00333203"/>
    <w:rPr>
      <w:color w:val="954F72" w:themeColor="followedHyperlink"/>
      <w:u w:val="single"/>
    </w:rPr>
  </w:style>
  <w:style w:type="table" w:styleId="PlainTable2">
    <w:name w:val="Plain Table 2"/>
    <w:basedOn w:val="TableNormal"/>
    <w:uiPriority w:val="42"/>
    <w:rsid w:val="008B50C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602824">
      <w:bodyDiv w:val="1"/>
      <w:marLeft w:val="0"/>
      <w:marRight w:val="0"/>
      <w:marTop w:val="0"/>
      <w:marBottom w:val="0"/>
      <w:divBdr>
        <w:top w:val="none" w:sz="0" w:space="0" w:color="auto"/>
        <w:left w:val="none" w:sz="0" w:space="0" w:color="auto"/>
        <w:bottom w:val="none" w:sz="0" w:space="0" w:color="auto"/>
        <w:right w:val="none" w:sz="0" w:space="0" w:color="auto"/>
      </w:divBdr>
    </w:div>
    <w:div w:id="181357267">
      <w:bodyDiv w:val="1"/>
      <w:marLeft w:val="0"/>
      <w:marRight w:val="0"/>
      <w:marTop w:val="0"/>
      <w:marBottom w:val="0"/>
      <w:divBdr>
        <w:top w:val="none" w:sz="0" w:space="0" w:color="auto"/>
        <w:left w:val="none" w:sz="0" w:space="0" w:color="auto"/>
        <w:bottom w:val="none" w:sz="0" w:space="0" w:color="auto"/>
        <w:right w:val="none" w:sz="0" w:space="0" w:color="auto"/>
      </w:divBdr>
    </w:div>
    <w:div w:id="221839416">
      <w:bodyDiv w:val="1"/>
      <w:marLeft w:val="0"/>
      <w:marRight w:val="0"/>
      <w:marTop w:val="0"/>
      <w:marBottom w:val="0"/>
      <w:divBdr>
        <w:top w:val="none" w:sz="0" w:space="0" w:color="auto"/>
        <w:left w:val="none" w:sz="0" w:space="0" w:color="auto"/>
        <w:bottom w:val="none" w:sz="0" w:space="0" w:color="auto"/>
        <w:right w:val="none" w:sz="0" w:space="0" w:color="auto"/>
      </w:divBdr>
    </w:div>
    <w:div w:id="469517487">
      <w:bodyDiv w:val="1"/>
      <w:marLeft w:val="0"/>
      <w:marRight w:val="0"/>
      <w:marTop w:val="0"/>
      <w:marBottom w:val="0"/>
      <w:divBdr>
        <w:top w:val="none" w:sz="0" w:space="0" w:color="auto"/>
        <w:left w:val="none" w:sz="0" w:space="0" w:color="auto"/>
        <w:bottom w:val="none" w:sz="0" w:space="0" w:color="auto"/>
        <w:right w:val="none" w:sz="0" w:space="0" w:color="auto"/>
      </w:divBdr>
    </w:div>
    <w:div w:id="668142651">
      <w:bodyDiv w:val="1"/>
      <w:marLeft w:val="0"/>
      <w:marRight w:val="0"/>
      <w:marTop w:val="0"/>
      <w:marBottom w:val="0"/>
      <w:divBdr>
        <w:top w:val="none" w:sz="0" w:space="0" w:color="auto"/>
        <w:left w:val="none" w:sz="0" w:space="0" w:color="auto"/>
        <w:bottom w:val="none" w:sz="0" w:space="0" w:color="auto"/>
        <w:right w:val="none" w:sz="0" w:space="0" w:color="auto"/>
      </w:divBdr>
    </w:div>
    <w:div w:id="692263780">
      <w:bodyDiv w:val="1"/>
      <w:marLeft w:val="0"/>
      <w:marRight w:val="0"/>
      <w:marTop w:val="0"/>
      <w:marBottom w:val="0"/>
      <w:divBdr>
        <w:top w:val="none" w:sz="0" w:space="0" w:color="auto"/>
        <w:left w:val="none" w:sz="0" w:space="0" w:color="auto"/>
        <w:bottom w:val="none" w:sz="0" w:space="0" w:color="auto"/>
        <w:right w:val="none" w:sz="0" w:space="0" w:color="auto"/>
      </w:divBdr>
    </w:div>
    <w:div w:id="773479209">
      <w:bodyDiv w:val="1"/>
      <w:marLeft w:val="0"/>
      <w:marRight w:val="0"/>
      <w:marTop w:val="0"/>
      <w:marBottom w:val="0"/>
      <w:divBdr>
        <w:top w:val="none" w:sz="0" w:space="0" w:color="auto"/>
        <w:left w:val="none" w:sz="0" w:space="0" w:color="auto"/>
        <w:bottom w:val="none" w:sz="0" w:space="0" w:color="auto"/>
        <w:right w:val="none" w:sz="0" w:space="0" w:color="auto"/>
      </w:divBdr>
    </w:div>
    <w:div w:id="802315009">
      <w:bodyDiv w:val="1"/>
      <w:marLeft w:val="0"/>
      <w:marRight w:val="0"/>
      <w:marTop w:val="0"/>
      <w:marBottom w:val="0"/>
      <w:divBdr>
        <w:top w:val="none" w:sz="0" w:space="0" w:color="auto"/>
        <w:left w:val="none" w:sz="0" w:space="0" w:color="auto"/>
        <w:bottom w:val="none" w:sz="0" w:space="0" w:color="auto"/>
        <w:right w:val="none" w:sz="0" w:space="0" w:color="auto"/>
      </w:divBdr>
    </w:div>
    <w:div w:id="1080565410">
      <w:bodyDiv w:val="1"/>
      <w:marLeft w:val="0"/>
      <w:marRight w:val="0"/>
      <w:marTop w:val="0"/>
      <w:marBottom w:val="0"/>
      <w:divBdr>
        <w:top w:val="none" w:sz="0" w:space="0" w:color="auto"/>
        <w:left w:val="none" w:sz="0" w:space="0" w:color="auto"/>
        <w:bottom w:val="none" w:sz="0" w:space="0" w:color="auto"/>
        <w:right w:val="none" w:sz="0" w:space="0" w:color="auto"/>
      </w:divBdr>
    </w:div>
    <w:div w:id="1180270494">
      <w:bodyDiv w:val="1"/>
      <w:marLeft w:val="0"/>
      <w:marRight w:val="0"/>
      <w:marTop w:val="0"/>
      <w:marBottom w:val="0"/>
      <w:divBdr>
        <w:top w:val="none" w:sz="0" w:space="0" w:color="auto"/>
        <w:left w:val="none" w:sz="0" w:space="0" w:color="auto"/>
        <w:bottom w:val="none" w:sz="0" w:space="0" w:color="auto"/>
        <w:right w:val="none" w:sz="0" w:space="0" w:color="auto"/>
      </w:divBdr>
    </w:div>
    <w:div w:id="1207377512">
      <w:bodyDiv w:val="1"/>
      <w:marLeft w:val="0"/>
      <w:marRight w:val="0"/>
      <w:marTop w:val="0"/>
      <w:marBottom w:val="0"/>
      <w:divBdr>
        <w:top w:val="none" w:sz="0" w:space="0" w:color="auto"/>
        <w:left w:val="none" w:sz="0" w:space="0" w:color="auto"/>
        <w:bottom w:val="none" w:sz="0" w:space="0" w:color="auto"/>
        <w:right w:val="none" w:sz="0" w:space="0" w:color="auto"/>
      </w:divBdr>
    </w:div>
    <w:div w:id="1305812296">
      <w:bodyDiv w:val="1"/>
      <w:marLeft w:val="0"/>
      <w:marRight w:val="0"/>
      <w:marTop w:val="0"/>
      <w:marBottom w:val="0"/>
      <w:divBdr>
        <w:top w:val="none" w:sz="0" w:space="0" w:color="auto"/>
        <w:left w:val="none" w:sz="0" w:space="0" w:color="auto"/>
        <w:bottom w:val="none" w:sz="0" w:space="0" w:color="auto"/>
        <w:right w:val="none" w:sz="0" w:space="0" w:color="auto"/>
      </w:divBdr>
    </w:div>
    <w:div w:id="1405684191">
      <w:bodyDiv w:val="1"/>
      <w:marLeft w:val="0"/>
      <w:marRight w:val="0"/>
      <w:marTop w:val="0"/>
      <w:marBottom w:val="0"/>
      <w:divBdr>
        <w:top w:val="none" w:sz="0" w:space="0" w:color="auto"/>
        <w:left w:val="none" w:sz="0" w:space="0" w:color="auto"/>
        <w:bottom w:val="none" w:sz="0" w:space="0" w:color="auto"/>
        <w:right w:val="none" w:sz="0" w:space="0" w:color="auto"/>
      </w:divBdr>
    </w:div>
    <w:div w:id="1465002973">
      <w:bodyDiv w:val="1"/>
      <w:marLeft w:val="0"/>
      <w:marRight w:val="0"/>
      <w:marTop w:val="0"/>
      <w:marBottom w:val="0"/>
      <w:divBdr>
        <w:top w:val="none" w:sz="0" w:space="0" w:color="auto"/>
        <w:left w:val="none" w:sz="0" w:space="0" w:color="auto"/>
        <w:bottom w:val="none" w:sz="0" w:space="0" w:color="auto"/>
        <w:right w:val="none" w:sz="0" w:space="0" w:color="auto"/>
      </w:divBdr>
    </w:div>
    <w:div w:id="1539735022">
      <w:bodyDiv w:val="1"/>
      <w:marLeft w:val="0"/>
      <w:marRight w:val="0"/>
      <w:marTop w:val="0"/>
      <w:marBottom w:val="0"/>
      <w:divBdr>
        <w:top w:val="none" w:sz="0" w:space="0" w:color="auto"/>
        <w:left w:val="none" w:sz="0" w:space="0" w:color="auto"/>
        <w:bottom w:val="none" w:sz="0" w:space="0" w:color="auto"/>
        <w:right w:val="none" w:sz="0" w:space="0" w:color="auto"/>
      </w:divBdr>
    </w:div>
    <w:div w:id="1571504186">
      <w:bodyDiv w:val="1"/>
      <w:marLeft w:val="0"/>
      <w:marRight w:val="0"/>
      <w:marTop w:val="0"/>
      <w:marBottom w:val="0"/>
      <w:divBdr>
        <w:top w:val="none" w:sz="0" w:space="0" w:color="auto"/>
        <w:left w:val="none" w:sz="0" w:space="0" w:color="auto"/>
        <w:bottom w:val="none" w:sz="0" w:space="0" w:color="auto"/>
        <w:right w:val="none" w:sz="0" w:space="0" w:color="auto"/>
      </w:divBdr>
    </w:div>
    <w:div w:id="1709796784">
      <w:bodyDiv w:val="1"/>
      <w:marLeft w:val="0"/>
      <w:marRight w:val="0"/>
      <w:marTop w:val="0"/>
      <w:marBottom w:val="0"/>
      <w:divBdr>
        <w:top w:val="none" w:sz="0" w:space="0" w:color="auto"/>
        <w:left w:val="none" w:sz="0" w:space="0" w:color="auto"/>
        <w:bottom w:val="none" w:sz="0" w:space="0" w:color="auto"/>
        <w:right w:val="none" w:sz="0" w:space="0" w:color="auto"/>
      </w:divBdr>
    </w:div>
    <w:div w:id="1771508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ettings" Target="settings.xml"/><Relationship Id="rId7" Type="http://schemas.openxmlformats.org/officeDocument/2006/relationships/hyperlink" Target="mailto:genlighttech@gmail.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6</Pages>
  <Words>2146</Words>
  <Characters>12235</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Guennadi Glinskii</dc:creator>
  <cp:keywords/>
  <dc:description/>
  <cp:lastModifiedBy>Guennadi Glinskii</cp:lastModifiedBy>
  <cp:revision>6</cp:revision>
  <cp:lastPrinted>2023-08-08T08:22:00Z</cp:lastPrinted>
  <dcterms:created xsi:type="dcterms:W3CDTF">2024-10-31T05:37:00Z</dcterms:created>
  <dcterms:modified xsi:type="dcterms:W3CDTF">2024-11-04T08:43:00Z</dcterms:modified>
</cp:coreProperties>
</file>